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郑州信息科技职业学院</w:t>
      </w:r>
    </w:p>
    <w:p>
      <w:pPr>
        <w:jc w:val="center"/>
        <w:rPr>
          <w:rFonts w:hint="eastAsia" w:ascii="黑体" w:hAnsi="黑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关于2021年秋季学期扩招学生选课的通知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各校区：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现将2021年秋季学期扩招学生选课</w:t>
      </w:r>
      <w:r>
        <w:rPr>
          <w:rFonts w:hint="eastAsia" w:ascii="仿宋" w:hAnsi="仿宋" w:eastAsia="仿宋" w:cs="仿宋"/>
          <w:sz w:val="30"/>
          <w:szCs w:val="30"/>
        </w:rPr>
        <w:t>工作相关事宜通知如下：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一、选课时间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2021年9月8日——9月15日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二、选课方式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各校区工作人员根据高职扩招人才培养方案要求，使用高职扩招教务管理系统，代学生选课。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三、注意事项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1.转专业后学生已经获得学分的非本专业课程不必退课，在平台保留数据；</w:t>
      </w:r>
    </w:p>
    <w:p>
      <w:pPr>
        <w:ind w:firstLine="600" w:firstLineChars="2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2.当学期课程可使用批量选课功能为学生选课，重修课程只能使用单独选课功能；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3.《形势与政策》课程需要学生学习四个学期，可使用批量选课功能为学生选课；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4.选课操作时如果系统提示考试时间冲突，可联系考务科解决。</w:t>
      </w:r>
    </w:p>
    <w:p>
      <w:pPr>
        <w:ind w:firstLine="600" w:firstLineChars="2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5.各校区应高度重视选课工作，若没有为学生选课，学生将无法使用学习平台学习。</w:t>
      </w:r>
    </w:p>
    <w:p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sz w:val="30"/>
          <w:szCs w:val="30"/>
        </w:rPr>
        <w:t>联系人及方式</w:t>
      </w:r>
    </w:p>
    <w:p>
      <w:pPr>
        <w:pStyle w:val="6"/>
        <w:ind w:left="4680" w:leftChars="300" w:hanging="4050" w:hangingChars="135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教务科</w:t>
      </w:r>
      <w:r>
        <w:rPr>
          <w:rFonts w:hint="eastAsia" w:ascii="仿宋" w:hAnsi="仿宋" w:eastAsia="仿宋" w:cs="仿宋"/>
          <w:sz w:val="30"/>
          <w:szCs w:val="30"/>
        </w:rPr>
        <w:t>联系人：崔艳</w:t>
      </w:r>
    </w:p>
    <w:p>
      <w:pPr>
        <w:pStyle w:val="6"/>
        <w:ind w:left="4680" w:leftChars="300" w:hanging="4050" w:hangingChars="135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联系电话：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0371-65934557</w:t>
      </w:r>
    </w:p>
    <w:p>
      <w:pPr>
        <w:pStyle w:val="6"/>
        <w:ind w:left="0" w:leftChars="0"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2.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考务科联系人：赵俊彬</w:t>
      </w:r>
    </w:p>
    <w:p>
      <w:pPr>
        <w:pStyle w:val="6"/>
        <w:ind w:left="4680" w:leftChars="300" w:hanging="4050" w:hangingChars="1350"/>
        <w:jc w:val="left"/>
        <w:rPr>
          <w:rFonts w:hint="default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sz w:val="30"/>
          <w:szCs w:val="30"/>
        </w:rPr>
        <w:t>联系电话：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0371-65953567</w:t>
      </w:r>
    </w:p>
    <w:p>
      <w:pPr>
        <w:pStyle w:val="6"/>
        <w:ind w:left="0" w:leftChars="0" w:firstLine="0" w:firstLineChars="0"/>
        <w:jc w:val="left"/>
        <w:rPr>
          <w:rFonts w:hint="eastAsia" w:ascii="仿宋" w:hAnsi="仿宋" w:eastAsia="仿宋" w:cs="仿宋"/>
          <w:sz w:val="30"/>
          <w:szCs w:val="30"/>
        </w:rPr>
      </w:pPr>
      <w:bookmarkStart w:id="7" w:name="_GoBack"/>
      <w:bookmarkEnd w:id="7"/>
    </w:p>
    <w:p>
      <w:pPr>
        <w:pStyle w:val="6"/>
        <w:ind w:left="0" w:leftChars="0" w:firstLine="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扩招教务平台选课操作手册</w:t>
      </w:r>
    </w:p>
    <w:p>
      <w:pPr>
        <w:pStyle w:val="6"/>
        <w:ind w:left="0" w:leftChars="0" w:firstLine="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6"/>
        <w:ind w:left="0" w:leftChars="0" w:firstLine="0" w:firstLineChars="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6"/>
        <w:ind w:left="0" w:leftChars="0" w:firstLine="0" w:firstLineChars="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教务处</w:t>
      </w:r>
    </w:p>
    <w:p>
      <w:pPr>
        <w:pStyle w:val="6"/>
        <w:ind w:left="0" w:leftChars="0" w:firstLine="0" w:firstLineChars="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2021年9月7日</w:t>
      </w:r>
    </w:p>
    <w:p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br w:type="page"/>
      </w:r>
    </w:p>
    <w:p>
      <w:pPr>
        <w:pStyle w:val="6"/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bookmarkStart w:id="0" w:name="_Toc525228602"/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附件：扩招教务平台选课操作手册</w:t>
      </w:r>
    </w:p>
    <w:p>
      <w:pPr>
        <w:pStyle w:val="2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选课管理</w:t>
      </w:r>
      <w:bookmarkEnd w:id="0"/>
    </w:p>
    <w:p>
      <w:pPr>
        <w:ind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学生成功</w:t>
      </w:r>
      <w:r>
        <w:rPr>
          <w:rFonts w:hint="eastAsia" w:ascii="微软雅黑" w:hAnsi="微软雅黑" w:eastAsia="微软雅黑"/>
        </w:rPr>
        <w:t>入学，</w:t>
      </w:r>
      <w:r>
        <w:rPr>
          <w:rFonts w:ascii="微软雅黑" w:hAnsi="微软雅黑" w:eastAsia="微软雅黑"/>
        </w:rPr>
        <w:t>接下来就要进行选课学习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ascii="微软雅黑" w:hAnsi="微软雅黑" w:eastAsia="微软雅黑"/>
        </w:rPr>
        <w:t>教学点代学生选课分为两种方式</w:t>
      </w:r>
      <w:r>
        <w:rPr>
          <w:rFonts w:hint="eastAsia" w:ascii="微软雅黑" w:hAnsi="微软雅黑" w:eastAsia="微软雅黑"/>
        </w:rPr>
        <w:t>：单独选课、批量选课。</w:t>
      </w:r>
    </w:p>
    <w:p>
      <w:pPr>
        <w:pStyle w:val="3"/>
        <w:rPr>
          <w:rFonts w:ascii="微软雅黑" w:hAnsi="微软雅黑" w:eastAsia="微软雅黑"/>
        </w:rPr>
      </w:pPr>
      <w:bookmarkStart w:id="1" w:name="_Toc525228603"/>
      <w:r>
        <w:rPr>
          <w:rFonts w:hint="eastAsia" w:ascii="微软雅黑" w:hAnsi="微软雅黑" w:eastAsia="微软雅黑"/>
        </w:rPr>
        <w:t>选课的必要条件</w:t>
      </w:r>
      <w:bookmarkEnd w:id="1"/>
    </w:p>
    <w:p>
      <w:pPr>
        <w:pStyle w:val="7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课程状态是“已发布”</w:t>
      </w:r>
    </w:p>
    <w:p>
      <w:pPr>
        <w:pStyle w:val="7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课程有正在使用中的课程版本</w:t>
      </w:r>
    </w:p>
    <w:p>
      <w:pPr>
        <w:pStyle w:val="7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课程拥有审核通过的课程考核要求</w:t>
      </w:r>
    </w:p>
    <w:p>
      <w:pPr>
        <w:pStyle w:val="7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课程已添加到选课批次，且选课批次正处选课期</w:t>
      </w:r>
    </w:p>
    <w:p>
      <w:pPr>
        <w:pStyle w:val="7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课程已添加到考试批次，且考试批次正处报考期</w:t>
      </w:r>
    </w:p>
    <w:p>
      <w:pPr>
        <w:pStyle w:val="7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平台内设置了课程所在学历的考试费、学分费收费标准</w:t>
      </w:r>
    </w:p>
    <w:p>
      <w:pPr>
        <w:pStyle w:val="3"/>
        <w:rPr>
          <w:rFonts w:ascii="微软雅黑" w:hAnsi="微软雅黑" w:eastAsia="微软雅黑"/>
        </w:rPr>
      </w:pPr>
      <w:bookmarkStart w:id="2" w:name="_Toc525228604"/>
      <w:r>
        <w:rPr>
          <w:rFonts w:ascii="微软雅黑" w:hAnsi="微软雅黑" w:eastAsia="微软雅黑"/>
        </w:rPr>
        <w:t>代学生选课</w:t>
      </w:r>
      <w:r>
        <w:rPr>
          <w:rFonts w:hint="eastAsia" w:ascii="微软雅黑" w:hAnsi="微软雅黑" w:eastAsia="微软雅黑"/>
        </w:rPr>
        <w:t>（单独选课）</w:t>
      </w:r>
      <w:bookmarkEnd w:id="2"/>
    </w:p>
    <w:p>
      <w:pPr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如考核要求中含“终考”，则选课同时自动报考。</w:t>
      </w:r>
    </w:p>
    <w:p>
      <w:pPr>
        <w:ind w:left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单独选课</w:t>
      </w:r>
      <w:r>
        <w:rPr>
          <w:rFonts w:hint="eastAsia" w:ascii="微软雅黑" w:hAnsi="微软雅黑" w:eastAsia="微软雅黑"/>
        </w:rPr>
        <w:t>是为某一位学生选课，具体步骤如下：</w:t>
      </w:r>
    </w:p>
    <w:p>
      <w:pPr>
        <w:ind w:left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精确查找学生</w:t>
      </w:r>
      <w:r>
        <w:rPr>
          <w:rFonts w:hint="eastAsia" w:ascii="微软雅黑" w:hAnsi="微软雅黑" w:eastAsia="微软雅黑"/>
        </w:rPr>
        <w:t>&gt;&gt;【选课】&gt;&gt;勾选要选课的课程&gt;&gt;【为选中学生选课】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2401570"/>
            <wp:effectExtent l="0" t="0" r="13970" b="635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4"/>
                    <a:srcRect t="54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212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</w:rPr>
      </w:pPr>
      <w:r>
        <w:rPr>
          <w:rFonts w:ascii="楷体" w:hAnsi="楷体" w:eastAsia="楷体"/>
        </w:rPr>
        <w:t>注</w:t>
      </w:r>
      <w:r>
        <w:rPr>
          <w:rFonts w:hint="eastAsia" w:ascii="楷体" w:hAnsi="楷体" w:eastAsia="楷体"/>
        </w:rPr>
        <w:t>：</w:t>
      </w:r>
    </w:p>
    <w:p>
      <w:pPr>
        <w:pStyle w:val="8"/>
        <w:numPr>
          <w:ilvl w:val="0"/>
          <w:numId w:val="2"/>
        </w:numPr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课程</w:t>
      </w:r>
      <w:r>
        <w:rPr>
          <w:rFonts w:ascii="楷体" w:hAnsi="楷体" w:eastAsia="楷体"/>
        </w:rPr>
        <w:t>列表展示该学生培养方案中所有可选课程</w:t>
      </w:r>
      <w:r>
        <w:rPr>
          <w:rFonts w:hint="eastAsia" w:ascii="楷体" w:hAnsi="楷体" w:eastAsia="楷体"/>
        </w:rPr>
        <w:t>；</w:t>
      </w:r>
    </w:p>
    <w:p>
      <w:pPr>
        <w:pStyle w:val="8"/>
        <w:numPr>
          <w:ilvl w:val="0"/>
          <w:numId w:val="2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课程</w:t>
      </w:r>
      <w:r>
        <w:rPr>
          <w:rFonts w:hint="eastAsia" w:ascii="楷体" w:hAnsi="楷体" w:eastAsia="楷体"/>
        </w:rPr>
        <w:t>可</w:t>
      </w:r>
      <w:r>
        <w:rPr>
          <w:rFonts w:ascii="楷体" w:hAnsi="楷体" w:eastAsia="楷体"/>
        </w:rPr>
        <w:t>多选</w:t>
      </w:r>
      <w:r>
        <w:rPr>
          <w:rFonts w:hint="eastAsia" w:ascii="楷体" w:hAnsi="楷体" w:eastAsia="楷体"/>
        </w:rPr>
        <w:t>；</w:t>
      </w:r>
    </w:p>
    <w:p>
      <w:pPr>
        <w:pStyle w:val="8"/>
        <w:numPr>
          <w:ilvl w:val="0"/>
          <w:numId w:val="2"/>
        </w:numPr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选课后及时为学生缴费，缴费成功后选课成功并同时报考相应考试批次的考试，学生可进入课程学习。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2409825"/>
            <wp:effectExtent l="0" t="0" r="13970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rcRect t="57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01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2403475"/>
            <wp:effectExtent l="0" t="0" r="1397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rcRect t="59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34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</w:rPr>
      </w:pPr>
      <w:bookmarkStart w:id="3" w:name="_Toc525228605"/>
      <w:r>
        <w:rPr>
          <w:rFonts w:hint="eastAsia" w:ascii="微软雅黑" w:hAnsi="微软雅黑" w:eastAsia="微软雅黑"/>
        </w:rPr>
        <w:t>代学生选课（批量选课）</w:t>
      </w:r>
      <w:bookmarkEnd w:id="3"/>
    </w:p>
    <w:p>
      <w:pPr>
        <w:ind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批量选课是为同一培养方案下的一批学生选课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需要您首先根据</w:t>
      </w:r>
      <w:r>
        <w:rPr>
          <w:rFonts w:hint="eastAsia" w:ascii="微软雅黑" w:hAnsi="微软雅黑" w:eastAsia="微软雅黑"/>
        </w:rPr>
        <w:t>学习批次和</w:t>
      </w:r>
      <w:r>
        <w:rPr>
          <w:rFonts w:ascii="微软雅黑" w:hAnsi="微软雅黑" w:eastAsia="微软雅黑"/>
        </w:rPr>
        <w:t>培养方案</w:t>
      </w:r>
      <w:r>
        <w:rPr>
          <w:rFonts w:hint="eastAsia" w:ascii="微软雅黑" w:hAnsi="微软雅黑" w:eastAsia="微软雅黑"/>
        </w:rPr>
        <w:t>五</w:t>
      </w:r>
      <w:r>
        <w:rPr>
          <w:rFonts w:ascii="微软雅黑" w:hAnsi="微软雅黑" w:eastAsia="微软雅黑"/>
        </w:rPr>
        <w:t>要素</w:t>
      </w:r>
      <w:r>
        <w:rPr>
          <w:rFonts w:hint="eastAsia" w:ascii="微软雅黑" w:hAnsi="微软雅黑" w:eastAsia="微软雅黑"/>
        </w:rPr>
        <w:t>查询出同一培养方案下同一批入学的学生，具体操作流程如下：</w:t>
      </w:r>
    </w:p>
    <w:p>
      <w:pPr>
        <w:ind w:firstLine="42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【批量选课】&gt;&gt;查询同一批培养方案下的学生&gt;&gt;勾选要选课的学生&gt;&gt;【去培养方案中选课】&gt;&gt;勾选要选课的课程&gt;&gt;【为选中的学生选课】</w:t>
      </w:r>
    </w:p>
    <w:p>
      <w:pPr>
        <w:ind w:firstLine="420"/>
        <w:rPr>
          <w:rFonts w:ascii="微软雅黑" w:hAnsi="微软雅黑" w:eastAsia="微软雅黑"/>
        </w:rPr>
      </w:pPr>
    </w:p>
    <w:p>
      <w:r>
        <w:drawing>
          <wp:inline distT="0" distB="0" distL="0" distR="0">
            <wp:extent cx="5274310" cy="2409825"/>
            <wp:effectExtent l="0" t="0" r="13970" b="13335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7"/>
                    <a:srcRect t="57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01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4310" cy="2403475"/>
            <wp:effectExtent l="0" t="0" r="13970" b="444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8"/>
                    <a:srcRect t="59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34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注：</w:t>
      </w:r>
    </w:p>
    <w:p>
      <w:pPr>
        <w:pStyle w:val="8"/>
        <w:numPr>
          <w:ilvl w:val="0"/>
          <w:numId w:val="3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选课界面可根据建议开设学期查询课程</w:t>
      </w:r>
      <w:r>
        <w:rPr>
          <w:rFonts w:hint="eastAsia" w:ascii="楷体" w:hAnsi="楷体" w:eastAsia="楷体"/>
        </w:rPr>
        <w:t>；</w:t>
      </w:r>
    </w:p>
    <w:p>
      <w:pPr>
        <w:pStyle w:val="8"/>
        <w:numPr>
          <w:ilvl w:val="0"/>
          <w:numId w:val="3"/>
        </w:numPr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课程</w:t>
      </w:r>
      <w:r>
        <w:rPr>
          <w:rFonts w:ascii="楷体" w:hAnsi="楷体" w:eastAsia="楷体"/>
        </w:rPr>
        <w:t>列表展示该批学生培养方案中所有可选课的课程</w:t>
      </w:r>
      <w:r>
        <w:rPr>
          <w:rFonts w:hint="eastAsia" w:ascii="楷体" w:hAnsi="楷体" w:eastAsia="楷体"/>
        </w:rPr>
        <w:t>；</w:t>
      </w:r>
    </w:p>
    <w:p>
      <w:pPr>
        <w:pStyle w:val="8"/>
        <w:numPr>
          <w:ilvl w:val="0"/>
          <w:numId w:val="3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课程</w:t>
      </w:r>
      <w:r>
        <w:rPr>
          <w:rFonts w:hint="eastAsia" w:ascii="楷体" w:hAnsi="楷体" w:eastAsia="楷体"/>
        </w:rPr>
        <w:t>为</w:t>
      </w:r>
      <w:r>
        <w:rPr>
          <w:rFonts w:ascii="楷体" w:hAnsi="楷体" w:eastAsia="楷体"/>
        </w:rPr>
        <w:t>多选</w:t>
      </w:r>
      <w:r>
        <w:rPr>
          <w:rFonts w:hint="eastAsia" w:ascii="楷体" w:hAnsi="楷体" w:eastAsia="楷体"/>
        </w:rPr>
        <w:t>；</w:t>
      </w:r>
    </w:p>
    <w:p>
      <w:pPr>
        <w:pStyle w:val="8"/>
        <w:numPr>
          <w:ilvl w:val="0"/>
          <w:numId w:val="3"/>
        </w:numPr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选课后及时为学生缴费，缴费成功后选课成功并同时报考相应考试批次的考试，学生方可进入课程学习。</w:t>
      </w:r>
    </w:p>
    <w:p>
      <w:pPr>
        <w:pStyle w:val="3"/>
        <w:rPr>
          <w:rFonts w:ascii="微软雅黑" w:hAnsi="微软雅黑" w:eastAsia="微软雅黑"/>
        </w:rPr>
      </w:pPr>
      <w:bookmarkStart w:id="4" w:name="_Toc525228607"/>
      <w:r>
        <w:rPr>
          <w:rFonts w:hint="eastAsia" w:ascii="微软雅黑" w:hAnsi="微软雅黑" w:eastAsia="微软雅黑"/>
        </w:rPr>
        <w:t>申请退课</w:t>
      </w:r>
      <w:bookmarkEnd w:id="4"/>
    </w:p>
    <w:p>
      <w:pPr>
        <w:ind w:left="300" w:firstLine="42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在选课期间，在学校规定的退课期内（一般为选课结束后一个月内，可能会发生调整），教学点可为学生申请退课。</w:t>
      </w:r>
    </w:p>
    <w:p>
      <w:pPr>
        <w:pStyle w:val="8"/>
        <w:ind w:left="420" w:firstLine="300"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退课申请审核流程</w:t>
      </w:r>
      <w:r>
        <w:rPr>
          <w:rFonts w:hint="eastAsia" w:ascii="微软雅黑" w:hAnsi="微软雅黑" w:eastAsia="微软雅黑"/>
        </w:rPr>
        <w:t>：</w:t>
      </w:r>
      <w:r>
        <w:rPr>
          <w:rFonts w:ascii="微软雅黑" w:hAnsi="微软雅黑" w:eastAsia="微软雅黑"/>
        </w:rPr>
        <w:t>教学点</w:t>
      </w:r>
      <w:r>
        <w:rPr>
          <w:rFonts w:hint="eastAsia" w:ascii="微软雅黑" w:hAnsi="微软雅黑" w:eastAsia="微软雅黑"/>
        </w:rPr>
        <w:t>发起申请&gt;&gt;学校教务审核&gt;&gt;</w:t>
      </w:r>
      <w:r>
        <w:rPr>
          <w:rFonts w:ascii="微软雅黑" w:hAnsi="微软雅黑" w:eastAsia="微软雅黑"/>
        </w:rPr>
        <w:t>学校</w:t>
      </w:r>
      <w:r>
        <w:rPr>
          <w:rFonts w:hint="eastAsia" w:ascii="微软雅黑" w:hAnsi="微软雅黑" w:eastAsia="微软雅黑"/>
        </w:rPr>
        <w:t>财务审核&gt;&gt;退费完成</w:t>
      </w:r>
    </w:p>
    <w:p>
      <w:pPr>
        <w:ind w:left="300"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具体申请操作流程</w:t>
      </w:r>
      <w:r>
        <w:rPr>
          <w:rFonts w:hint="eastAsia" w:ascii="微软雅黑" w:hAnsi="微软雅黑" w:eastAsia="微软雅黑"/>
        </w:rPr>
        <w:t>：【添加退课申请】&gt;&gt;</w:t>
      </w:r>
      <w:r>
        <w:rPr>
          <w:rFonts w:ascii="微软雅黑" w:hAnsi="微软雅黑" w:eastAsia="微软雅黑"/>
        </w:rPr>
        <w:t>精确查找学生</w:t>
      </w:r>
      <w:r>
        <w:rPr>
          <w:rFonts w:hint="eastAsia" w:ascii="微软雅黑" w:hAnsi="微软雅黑" w:eastAsia="微软雅黑"/>
        </w:rPr>
        <w:t>&gt;&gt;【申请退课】&gt;&gt;勾选课程&gt;&gt;【提交退课申请】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2356485"/>
            <wp:effectExtent l="0" t="0" r="13970" b="571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9"/>
                    <a:srcRect t="77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709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</w:rPr>
      </w:pPr>
      <w:r>
        <w:rPr>
          <w:rFonts w:ascii="楷体" w:hAnsi="楷体" w:eastAsia="楷体"/>
        </w:rPr>
        <w:t>注</w:t>
      </w:r>
      <w:r>
        <w:rPr>
          <w:rFonts w:hint="eastAsia" w:ascii="楷体" w:hAnsi="楷体" w:eastAsia="楷体"/>
        </w:rPr>
        <w:t>：</w:t>
      </w:r>
    </w:p>
    <w:p>
      <w:pPr>
        <w:rPr>
          <w:rFonts w:ascii="楷体" w:hAnsi="楷体" w:eastAsia="楷体"/>
        </w:rPr>
      </w:pPr>
      <w:r>
        <w:rPr>
          <w:rFonts w:ascii="楷体" w:hAnsi="楷体" w:eastAsia="楷体"/>
        </w:rPr>
        <w:tab/>
      </w:r>
      <w:r>
        <w:rPr>
          <w:rFonts w:hint="eastAsia" w:ascii="楷体" w:hAnsi="楷体" w:eastAsia="楷体"/>
        </w:rPr>
        <w:t>功能首页查询结果为符合查询条件的已申请退课信息。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3040" cy="2265680"/>
            <wp:effectExtent l="0" t="0" r="0" b="508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10"/>
                    <a:srcRect t="6609" b="64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653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3675" cy="2325370"/>
            <wp:effectExtent l="0" t="0" r="14605" b="635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11"/>
                    <a:srcRect t="5592" b="51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601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</w:rPr>
      </w:pPr>
      <w:r>
        <w:rPr>
          <w:rFonts w:ascii="楷体" w:hAnsi="楷体" w:eastAsia="楷体"/>
        </w:rPr>
        <w:t>注</w:t>
      </w:r>
      <w:r>
        <w:rPr>
          <w:rFonts w:hint="eastAsia" w:ascii="楷体" w:hAnsi="楷体" w:eastAsia="楷体"/>
        </w:rPr>
        <w:t>：</w:t>
      </w:r>
    </w:p>
    <w:p>
      <w:pPr>
        <w:pStyle w:val="8"/>
        <w:numPr>
          <w:ilvl w:val="0"/>
          <w:numId w:val="4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课程列表展示所有在退课期的课程</w:t>
      </w:r>
      <w:r>
        <w:rPr>
          <w:rFonts w:hint="eastAsia" w:ascii="楷体" w:hAnsi="楷体" w:eastAsia="楷体"/>
        </w:rPr>
        <w:t>；</w:t>
      </w:r>
    </w:p>
    <w:p>
      <w:pPr>
        <w:pStyle w:val="8"/>
        <w:numPr>
          <w:ilvl w:val="0"/>
          <w:numId w:val="4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课程可多选</w:t>
      </w:r>
      <w:r>
        <w:rPr>
          <w:rFonts w:hint="eastAsia" w:ascii="楷体" w:hAnsi="楷体" w:eastAsia="楷体"/>
        </w:rPr>
        <w:t>；</w:t>
      </w:r>
    </w:p>
    <w:p>
      <w:pPr>
        <w:pStyle w:val="8"/>
        <w:numPr>
          <w:ilvl w:val="0"/>
          <w:numId w:val="4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审核状态说明</w:t>
      </w:r>
      <w:r>
        <w:rPr>
          <w:rFonts w:hint="eastAsia" w:ascii="楷体" w:hAnsi="楷体" w:eastAsia="楷体"/>
        </w:rPr>
        <w:t>：</w:t>
      </w:r>
    </w:p>
    <w:p>
      <w:pPr>
        <w:pStyle w:val="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待审核</w:t>
      </w:r>
      <w:r>
        <w:rPr>
          <w:rFonts w:hint="eastAsia" w:ascii="楷体" w:hAnsi="楷体" w:eastAsia="楷体"/>
          <w:b/>
        </w:rPr>
        <w:t>：</w:t>
      </w:r>
      <w:r>
        <w:rPr>
          <w:rFonts w:hint="eastAsia" w:ascii="楷体" w:hAnsi="楷体" w:eastAsia="楷体"/>
        </w:rPr>
        <w:t>待学校教务审核，可撤销，可查看详情，学生可正常学习</w:t>
      </w:r>
    </w:p>
    <w:p>
      <w:pPr>
        <w:pStyle w:val="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教务审核驳回</w:t>
      </w:r>
      <w:r>
        <w:rPr>
          <w:rFonts w:hint="eastAsia" w:ascii="楷体" w:hAnsi="楷体" w:eastAsia="楷体"/>
          <w:b/>
        </w:rPr>
        <w:t>：</w:t>
      </w:r>
      <w:r>
        <w:rPr>
          <w:rFonts w:hint="eastAsia" w:ascii="楷体" w:hAnsi="楷体" w:eastAsia="楷体"/>
        </w:rPr>
        <w:t>未通过学校教务部门审核，不可撤销，可查看详情，学生可正常学习</w:t>
      </w:r>
    </w:p>
    <w:p>
      <w:pPr>
        <w:pStyle w:val="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待财务审核</w:t>
      </w:r>
      <w:r>
        <w:rPr>
          <w:rFonts w:hint="eastAsia" w:ascii="楷体" w:hAnsi="楷体" w:eastAsia="楷体"/>
          <w:b/>
        </w:rPr>
        <w:t>：</w:t>
      </w:r>
      <w:r>
        <w:rPr>
          <w:rFonts w:ascii="楷体" w:hAnsi="楷体" w:eastAsia="楷体"/>
        </w:rPr>
        <w:t>学校教务部门审核通过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等待学校财务部门审核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不可撤销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学生不可继续学习</w:t>
      </w:r>
    </w:p>
    <w:p>
      <w:pPr>
        <w:pStyle w:val="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财务审核驳回</w:t>
      </w:r>
      <w:r>
        <w:rPr>
          <w:rFonts w:hint="eastAsia" w:ascii="楷体" w:hAnsi="楷体" w:eastAsia="楷体"/>
          <w:b/>
        </w:rPr>
        <w:t>：</w:t>
      </w:r>
      <w:r>
        <w:rPr>
          <w:rFonts w:ascii="楷体" w:hAnsi="楷体" w:eastAsia="楷体"/>
        </w:rPr>
        <w:t>未通过学校财务部门审核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不可撤销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可查看详情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学生可正常学习</w:t>
      </w:r>
    </w:p>
    <w:p>
      <w:pPr>
        <w:pStyle w:val="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财务审核通过</w:t>
      </w:r>
      <w:r>
        <w:rPr>
          <w:rFonts w:hint="eastAsia" w:ascii="楷体" w:hAnsi="楷体" w:eastAsia="楷体"/>
          <w:b/>
        </w:rPr>
        <w:t>：</w:t>
      </w:r>
      <w:r>
        <w:rPr>
          <w:rFonts w:ascii="楷体" w:hAnsi="楷体" w:eastAsia="楷体"/>
        </w:rPr>
        <w:t>等待退费处理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不可撤销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可查看详情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学生不可继续学习</w:t>
      </w:r>
    </w:p>
    <w:p>
      <w:pPr>
        <w:ind w:left="420" w:firstLine="36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已处理退费</w:t>
      </w:r>
      <w:r>
        <w:rPr>
          <w:rFonts w:hint="eastAsia" w:ascii="楷体" w:hAnsi="楷体" w:eastAsia="楷体"/>
          <w:b/>
        </w:rPr>
        <w:t>：</w:t>
      </w:r>
      <w:r>
        <w:rPr>
          <w:rFonts w:ascii="楷体" w:hAnsi="楷体" w:eastAsia="楷体"/>
        </w:rPr>
        <w:t>完成费用退还</w:t>
      </w:r>
    </w:p>
    <w:p>
      <w:pPr>
        <w:ind w:left="360" w:firstLine="42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已撤销</w:t>
      </w:r>
      <w:r>
        <w:rPr>
          <w:rFonts w:hint="eastAsia" w:ascii="楷体" w:hAnsi="楷体" w:eastAsia="楷体"/>
          <w:b/>
        </w:rPr>
        <w:t>：</w:t>
      </w:r>
      <w:r>
        <w:rPr>
          <w:rFonts w:hint="eastAsia" w:ascii="楷体" w:hAnsi="楷体" w:eastAsia="楷体"/>
        </w:rPr>
        <w:t>被撤销的申请，可查看详情，学生可继续学习</w:t>
      </w:r>
    </w:p>
    <w:p>
      <w:pPr>
        <w:pStyle w:val="2"/>
        <w:rPr>
          <w:rFonts w:ascii="微软雅黑" w:hAnsi="微软雅黑" w:eastAsia="微软雅黑"/>
        </w:rPr>
      </w:pPr>
      <w:bookmarkStart w:id="5" w:name="_Toc525228608"/>
      <w:r>
        <w:rPr>
          <w:rFonts w:hint="eastAsia" w:ascii="微软雅黑" w:hAnsi="微软雅黑" w:eastAsia="微软雅黑"/>
        </w:rPr>
        <w:t>查询与统计</w:t>
      </w:r>
      <w:bookmarkEnd w:id="5"/>
    </w:p>
    <w:p>
      <w:pPr>
        <w:pStyle w:val="3"/>
        <w:rPr>
          <w:rFonts w:ascii="微软雅黑" w:hAnsi="微软雅黑" w:eastAsia="微软雅黑"/>
        </w:rPr>
      </w:pPr>
      <w:bookmarkStart w:id="6" w:name="_Toc525228609"/>
      <w:r>
        <w:rPr>
          <w:rFonts w:hint="eastAsia" w:ascii="微软雅黑" w:hAnsi="微软雅黑" w:eastAsia="微软雅黑"/>
        </w:rPr>
        <w:t>查询选课信息</w:t>
      </w:r>
      <w:bookmarkEnd w:id="6"/>
    </w:p>
    <w:p>
      <w:pPr>
        <w:ind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教学点代学生批量选课后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平台会生成学生的选课信息</w:t>
      </w:r>
      <w:r>
        <w:rPr>
          <w:rFonts w:hint="eastAsia" w:ascii="微软雅黑" w:hAnsi="微软雅黑" w:eastAsia="微软雅黑"/>
        </w:rPr>
        <w:t>，在此功能中可查询到任何缴费状态的学生选课信息，并可导出查询结果。</w:t>
      </w:r>
    </w:p>
    <w:p>
      <w:pPr>
        <w:pStyle w:val="6"/>
        <w:ind w:left="0" w:leftChars="0" w:firstLine="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drawing>
          <wp:inline distT="0" distB="0" distL="0" distR="0">
            <wp:extent cx="5274310" cy="2424430"/>
            <wp:effectExtent l="0" t="0" r="13970" b="1397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2"/>
                    <a:srcRect t="639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451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A66091"/>
    <w:multiLevelType w:val="multilevel"/>
    <w:tmpl w:val="14A66091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9EB712A"/>
    <w:multiLevelType w:val="multilevel"/>
    <w:tmpl w:val="19EB712A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72977EE"/>
    <w:multiLevelType w:val="multilevel"/>
    <w:tmpl w:val="272977EE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lvlText w:val="%1.%2."/>
      <w:lvlJc w:val="left"/>
      <w:pPr>
        <w:tabs>
          <w:tab w:val="left" w:pos="794"/>
        </w:tabs>
        <w:ind w:left="794" w:hanging="737"/>
      </w:pPr>
      <w:rPr>
        <w:rFonts w:hint="eastAsia"/>
      </w:rPr>
    </w:lvl>
    <w:lvl w:ilvl="2" w:tentative="0">
      <w:start w:val="1"/>
      <w:numFmt w:val="decimal"/>
      <w:pStyle w:val="3"/>
      <w:lvlText w:val="%1.%2.%3"/>
      <w:lvlJc w:val="left"/>
      <w:pPr>
        <w:tabs>
          <w:tab w:val="left" w:pos="907"/>
        </w:tabs>
        <w:ind w:left="907" w:hanging="794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247"/>
        </w:tabs>
        <w:ind w:left="1247" w:hanging="963"/>
      </w:pPr>
      <w:rPr>
        <w:rFonts w:hint="eastAsia"/>
      </w:rPr>
    </w:lvl>
    <w:lvl w:ilvl="4" w:tentative="0">
      <w:start w:val="1"/>
      <w:numFmt w:val="decimal"/>
      <w:pStyle w:val="7"/>
      <w:lvlText w:val="(%5)"/>
      <w:lvlJc w:val="left"/>
      <w:pPr>
        <w:tabs>
          <w:tab w:val="left" w:pos="1134"/>
        </w:tabs>
        <w:ind w:left="1134" w:hanging="567"/>
      </w:pPr>
      <w:rPr>
        <w:rFonts w:hint="eastAsia"/>
      </w:rPr>
    </w:lvl>
    <w:lvl w:ilvl="5" w:tentative="0">
      <w:start w:val="1"/>
      <w:numFmt w:val="decimalEnclosedCircle"/>
      <w:lvlText w:val="%6"/>
      <w:lvlJc w:val="left"/>
      <w:pPr>
        <w:tabs>
          <w:tab w:val="left" w:pos="1247"/>
        </w:tabs>
        <w:ind w:left="1247" w:hanging="340"/>
      </w:pPr>
      <w:rPr>
        <w:rFonts w:hint="eastAsia"/>
      </w:rPr>
    </w:lvl>
    <w:lvl w:ilvl="6" w:tentative="0">
      <w:start w:val="1"/>
      <w:numFmt w:val="upperLetter"/>
      <w:lvlText w:val="%7."/>
      <w:lvlJc w:val="left"/>
      <w:pPr>
        <w:tabs>
          <w:tab w:val="left" w:pos="1474"/>
        </w:tabs>
        <w:ind w:left="1474" w:hanging="340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1701"/>
        </w:tabs>
        <w:ind w:left="1701" w:hanging="340"/>
      </w:pPr>
      <w:rPr>
        <w:rFonts w:hint="eastAsia"/>
      </w:rPr>
    </w:lvl>
    <w:lvl w:ilvl="8" w:tentative="0">
      <w:start w:val="1"/>
      <w:numFmt w:val="bullet"/>
      <w:lvlText w:val=""/>
      <w:lvlJc w:val="left"/>
      <w:pPr>
        <w:tabs>
          <w:tab w:val="left" w:pos="1871"/>
        </w:tabs>
        <w:ind w:left="1871" w:hanging="283"/>
      </w:pPr>
      <w:rPr>
        <w:rFonts w:hint="default" w:ascii="Symbol" w:hAnsi="Symbol"/>
        <w:color w:val="auto"/>
      </w:rPr>
    </w:lvl>
  </w:abstractNum>
  <w:abstractNum w:abstractNumId="3">
    <w:nsid w:val="2FA7603E"/>
    <w:multiLevelType w:val="multilevel"/>
    <w:tmpl w:val="2FA7603E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D0077"/>
    <w:rsid w:val="024D7F71"/>
    <w:rsid w:val="02A51095"/>
    <w:rsid w:val="0A4D2D9F"/>
    <w:rsid w:val="115722C9"/>
    <w:rsid w:val="1432331C"/>
    <w:rsid w:val="1E1F562E"/>
    <w:rsid w:val="1E31460B"/>
    <w:rsid w:val="2AD91996"/>
    <w:rsid w:val="2BE00153"/>
    <w:rsid w:val="2C25236B"/>
    <w:rsid w:val="30083EA1"/>
    <w:rsid w:val="31BB672C"/>
    <w:rsid w:val="36906F8D"/>
    <w:rsid w:val="3F9D1C5F"/>
    <w:rsid w:val="40FE47AF"/>
    <w:rsid w:val="437A5D03"/>
    <w:rsid w:val="450052BE"/>
    <w:rsid w:val="465D77E9"/>
    <w:rsid w:val="47644CEE"/>
    <w:rsid w:val="4BAF27E7"/>
    <w:rsid w:val="4ED13833"/>
    <w:rsid w:val="53987853"/>
    <w:rsid w:val="54C65B69"/>
    <w:rsid w:val="556D1B9E"/>
    <w:rsid w:val="5CAE00DF"/>
    <w:rsid w:val="5D98170D"/>
    <w:rsid w:val="62187C00"/>
    <w:rsid w:val="63052342"/>
    <w:rsid w:val="64E1066C"/>
    <w:rsid w:val="65C54C98"/>
    <w:rsid w:val="672317B5"/>
    <w:rsid w:val="67680486"/>
    <w:rsid w:val="6C8D58CA"/>
    <w:rsid w:val="70761D7A"/>
    <w:rsid w:val="735D5DDB"/>
    <w:rsid w:val="757F26AA"/>
    <w:rsid w:val="78CE4E41"/>
    <w:rsid w:val="7A924C11"/>
    <w:rsid w:val="7EA4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tabs>
        <w:tab w:val="left" w:pos="425"/>
      </w:tabs>
      <w:spacing w:before="120" w:after="120"/>
      <w:outlineLvl w:val="1"/>
    </w:pPr>
    <w:rPr>
      <w:rFonts w:eastAsia="黑体"/>
      <w:bCs/>
      <w:sz w:val="28"/>
      <w:szCs w:val="28"/>
    </w:rPr>
  </w:style>
  <w:style w:type="paragraph" w:styleId="3">
    <w:name w:val="heading 3"/>
    <w:basedOn w:val="1"/>
    <w:next w:val="1"/>
    <w:qFormat/>
    <w:uiPriority w:val="0"/>
    <w:pPr>
      <w:keepLines/>
      <w:numPr>
        <w:ilvl w:val="2"/>
        <w:numId w:val="1"/>
      </w:numPr>
      <w:tabs>
        <w:tab w:val="left" w:pos="425"/>
      </w:tabs>
      <w:spacing w:before="120" w:after="120"/>
      <w:outlineLvl w:val="2"/>
    </w:pPr>
    <w:rPr>
      <w:rFonts w:eastAsia="楷体_GB2312"/>
      <w:bCs/>
      <w:sz w:val="24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_Style 1"/>
    <w:basedOn w:val="1"/>
    <w:qFormat/>
    <w:uiPriority w:val="34"/>
    <w:pPr>
      <w:ind w:firstLine="420" w:firstLineChars="200"/>
    </w:pPr>
  </w:style>
  <w:style w:type="paragraph" w:customStyle="1" w:styleId="7">
    <w:name w:val="项目文本"/>
    <w:basedOn w:val="1"/>
    <w:qFormat/>
    <w:uiPriority w:val="0"/>
    <w:pPr>
      <w:numPr>
        <w:ilvl w:val="4"/>
        <w:numId w:val="1"/>
      </w:numPr>
      <w:spacing w:before="40" w:after="40"/>
    </w:p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cuiyan</dc:creator>
  <cp:lastModifiedBy>cici</cp:lastModifiedBy>
  <dcterms:modified xsi:type="dcterms:W3CDTF">2021-09-07T09:29:58Z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47FC0AD0ED9844B3AA3FE9D70024D928</vt:lpwstr>
  </property>
</Properties>
</file>