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227" w:beforeLines="50" w:after="227" w:afterLines="50" w:line="900" w:lineRule="exact"/>
        <w:jc w:val="center"/>
        <w:textAlignment w:val="auto"/>
        <w:rPr>
          <w:rFonts w:hint="eastAsia" w:ascii="方正小标宋简体" w:eastAsia="方正小标宋简体"/>
          <w:color w:val="FFFFFF" w:themeColor="background1"/>
          <w:spacing w:val="51"/>
          <w:sz w:val="72"/>
          <w:szCs w:val="72"/>
          <w:lang w:val="en-US" w:eastAsia="zh-CN"/>
          <w14:textFill>
            <w14:solidFill>
              <w14:schemeClr w14:val="bg1"/>
            </w14:solidFill>
          </w14:textFill>
        </w:rPr>
      </w:pPr>
      <w:r>
        <w:rPr>
          <w:rFonts w:hint="eastAsia" w:ascii="方正小标宋简体" w:eastAsia="方正小标宋简体"/>
          <w:color w:val="FFFFFF" w:themeColor="background1"/>
          <w:spacing w:val="57"/>
          <w:w w:val="87"/>
          <w:sz w:val="70"/>
          <w:szCs w:val="70"/>
          <w:lang w:val="en-US" w:eastAsia="zh-CN"/>
          <w14:textFill>
            <w14:solidFill>
              <w14:schemeClr w14:val="bg1"/>
            </w14:solidFill>
          </w14:textFill>
        </w:rPr>
        <w:t>郑州信息科技职业学院文件</w:t>
      </w:r>
    </w:p>
    <w:p>
      <w:pPr>
        <w:keepNext w:val="0"/>
        <w:keepLines w:val="0"/>
        <w:pageBreakBefore w:val="0"/>
        <w:widowControl w:val="0"/>
        <w:kinsoku/>
        <w:wordWrap w:val="0"/>
        <w:overflowPunct/>
        <w:topLinePunct w:val="0"/>
        <w:autoSpaceDE/>
        <w:autoSpaceDN/>
        <w:bidi w:val="0"/>
        <w:adjustRightInd/>
        <w:snapToGrid/>
        <w:spacing w:line="579" w:lineRule="exact"/>
        <w:ind w:left="0" w:leftChars="0" w:right="412" w:rightChars="200"/>
        <w:jc w:val="righ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院办〔2023〕17号</w:t>
      </w:r>
    </w:p>
    <w:p>
      <w:pPr>
        <w:keepNext w:val="0"/>
        <w:keepLines w:val="0"/>
        <w:pageBreakBefore w:val="0"/>
        <w:widowControl w:val="0"/>
        <w:kinsoku/>
        <w:wordWrap/>
        <w:overflowPunct/>
        <w:topLinePunct w:val="0"/>
        <w:autoSpaceDE/>
        <w:autoSpaceDN/>
        <w:bidi w:val="0"/>
        <w:adjustRightInd/>
        <w:snapToGrid/>
        <w:spacing w:line="180" w:lineRule="exact"/>
        <w:ind w:left="0" w:leftChars="0" w:right="412" w:rightChars="200"/>
        <w:jc w:val="right"/>
        <w:textAlignment w:val="auto"/>
        <w:rPr>
          <w:rFonts w:hint="default"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color w:val="auto"/>
          <w:spacing w:val="-17"/>
          <w:w w:val="97"/>
          <w:sz w:val="44"/>
          <w:szCs w:val="44"/>
          <w:lang w:val="en-US" w:eastAsia="zh-CN"/>
        </w:rPr>
      </w:pPr>
      <w:r>
        <w:rPr>
          <w:rFonts w:hint="eastAsia" w:ascii="方正小标宋简体" w:hAnsi="方正小标宋简体" w:eastAsia="方正小标宋简体" w:cs="方正小标宋简体"/>
          <w:color w:val="auto"/>
          <w:spacing w:val="-17"/>
          <w:w w:val="97"/>
          <w:sz w:val="44"/>
          <w:szCs w:val="44"/>
          <w:lang w:val="en-US" w:eastAsia="zh-CN"/>
        </w:rPr>
        <w:t>关于做好2023年春季学期</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default" w:ascii="方正小标宋简体" w:hAnsi="方正小标宋简体" w:eastAsia="方正小标宋简体" w:cs="方正小标宋简体"/>
          <w:color w:val="auto"/>
          <w:spacing w:val="0"/>
          <w:w w:val="100"/>
          <w:sz w:val="44"/>
          <w:szCs w:val="44"/>
          <w:lang w:val="en-US" w:eastAsia="zh-CN"/>
        </w:rPr>
      </w:pPr>
      <w:r>
        <w:rPr>
          <w:rFonts w:hint="eastAsia" w:ascii="方正小标宋简体" w:hAnsi="方正小标宋简体" w:eastAsia="方正小标宋简体" w:cs="方正小标宋简体"/>
          <w:color w:val="auto"/>
          <w:spacing w:val="-17"/>
          <w:w w:val="97"/>
          <w:sz w:val="44"/>
          <w:szCs w:val="44"/>
          <w:lang w:val="en-US" w:eastAsia="zh-CN"/>
        </w:rPr>
        <w:t>高职扩招学分转换工作的通知</w:t>
      </w:r>
      <w:bookmarkStart w:id="0" w:name="_GoBack"/>
      <w:bookmarkEnd w:id="0"/>
    </w:p>
    <w:p>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各学院、高职扩招各校区：</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根据郑州信息科技职业学院高职扩招教学管理和学分转换工作安排，按照《关于印发&lt;郑州信息科技职业学院高职扩招学分认定和转换实施方案（试行）&gt;的通知》（院〔2020〕31号）文件要求，现将202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cs="仿宋_GB2312"/>
          <w:sz w:val="32"/>
          <w:szCs w:val="32"/>
          <w:lang w:val="en-US" w:eastAsia="zh-CN"/>
        </w:rPr>
        <w:t>春</w:t>
      </w:r>
      <w:r>
        <w:rPr>
          <w:rFonts w:hint="eastAsia" w:ascii="仿宋_GB2312" w:hAnsi="仿宋_GB2312" w:eastAsia="仿宋_GB2312" w:cs="仿宋_GB2312"/>
          <w:sz w:val="32"/>
          <w:szCs w:val="32"/>
        </w:rPr>
        <w:t>季学期高职扩招学分转换</w:t>
      </w:r>
      <w:r>
        <w:rPr>
          <w:rFonts w:hint="eastAsia" w:ascii="仿宋_GB2312" w:hAnsi="仿宋_GB2312" w:eastAsia="仿宋_GB2312" w:cs="仿宋_GB2312"/>
          <w:sz w:val="32"/>
          <w:szCs w:val="32"/>
          <w:lang w:val="en-US" w:eastAsia="zh-CN"/>
        </w:rPr>
        <w:t>工作</w:t>
      </w:r>
      <w:r>
        <w:rPr>
          <w:rFonts w:hint="eastAsia" w:ascii="仿宋_GB2312" w:hAnsi="仿宋_GB2312" w:eastAsia="仿宋_GB2312" w:cs="仿宋_GB2312"/>
          <w:sz w:val="32"/>
          <w:szCs w:val="32"/>
        </w:rPr>
        <w:t>通知如下，请遵照执行。</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、工作要求</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（一）高职扩招各校区负责审核学生身份证件、学习成果原件，确保证件、成果真实有效，并保存学生身份证件、学习成果复印件备查。</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（二）高职扩招各校区</w:t>
      </w:r>
      <w:r>
        <w:rPr>
          <w:rFonts w:hint="eastAsia" w:ascii="仿宋_GB2312" w:hAnsi="仿宋_GB2312" w:eastAsia="仿宋_GB2312" w:cs="仿宋_GB2312"/>
          <w:sz w:val="32"/>
          <w:szCs w:val="32"/>
          <w:lang w:val="en-US" w:eastAsia="zh-CN"/>
        </w:rPr>
        <w:t>须</w:t>
      </w:r>
      <w:r>
        <w:rPr>
          <w:rFonts w:hint="eastAsia" w:ascii="仿宋_GB2312" w:hAnsi="仿宋_GB2312" w:eastAsia="仿宋_GB2312" w:cs="仿宋_GB2312"/>
          <w:sz w:val="32"/>
          <w:szCs w:val="32"/>
        </w:rPr>
        <w:t>在高职扩招平台上传</w:t>
      </w:r>
      <w:r>
        <w:rPr>
          <w:rFonts w:hint="eastAsia" w:ascii="仿宋_GB2312" w:hAnsi="仿宋_GB2312" w:eastAsia="仿宋_GB2312" w:cs="仿宋_GB2312"/>
          <w:sz w:val="32"/>
          <w:szCs w:val="32"/>
          <w:lang w:val="en-US" w:eastAsia="zh-CN"/>
        </w:rPr>
        <w:t>身份证件及学习成果扫描件，并</w:t>
      </w:r>
      <w:r>
        <w:rPr>
          <w:rFonts w:hint="eastAsia" w:ascii="仿宋_GB2312" w:hAnsi="仿宋_GB2312" w:eastAsia="仿宋_GB2312" w:cs="仿宋_GB2312"/>
          <w:sz w:val="32"/>
          <w:szCs w:val="32"/>
        </w:rPr>
        <w:t xml:space="preserve">提交学分转换申请。具体操作方法与注意事项详见《高职扩招平台学分转换相关操作方法与注意事项》（附件1）。 </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高职扩招各校区应严格依据《郑州信息科技职业学院高职扩招学分认定和转换总则（试行）》（院〔2020〕32号）（附件2）各项要求进行学分转换申请的初审工作。其中对学生实习环节中以工作代实习学分转换申请及岗位工作经历证明材料的提交要求，请参见《郑州信息科技职业学院高职扩招生以工作代实习学分转换申请表》（附件3，以下简称《申请表》）。各学院在高职扩招各校区初审的基础上，需在学生提交的《申请表》中对学生工作经历是否符合以工作代实习学分转换要求给出审核意见。</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高职扩招各校区依据初审情况，将初审通过的学分转换申请汇总制作成《高职扩招学生学分转换申请花名册》（附件4，以下简称《花名册》）并签字盖章，会同以工作代实习学分转换学生的《申请表》及相关证明材料，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日前寄送至学分银行管理中心（以邮件寄送日期为据）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并同步将《花名册》电子版发送至学分银行管理中心邮箱：</w:t>
      </w:r>
      <w:r>
        <w:rPr>
          <w:rFonts w:hint="eastAsia" w:ascii="仿宋_GB2312" w:hAnsi="仿宋_GB2312" w:eastAsia="仿宋_GB2312" w:cs="仿宋_GB2312"/>
          <w:sz w:val="32"/>
          <w:szCs w:val="32"/>
        </w:rPr>
        <w:t>hncreditbank@126.com。</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、时间安排</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2023年3月9日—</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高职扩招各校区</w:t>
      </w:r>
      <w:r>
        <w:rPr>
          <w:rFonts w:hint="eastAsia" w:ascii="仿宋_GB2312" w:hAnsi="仿宋_GB2312" w:eastAsia="仿宋_GB2312" w:cs="仿宋_GB2312"/>
          <w:sz w:val="32"/>
          <w:szCs w:val="32"/>
        </w:rPr>
        <w:t>完成高职扩招学分转换“申请阶段”的申请和初审工作。</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（二）2023年3月27日—2023年3月31日，各学院完成</w:t>
      </w:r>
      <w:r>
        <w:rPr>
          <w:rFonts w:hint="eastAsia" w:ascii="仿宋_GB2312" w:hAnsi="仿宋_GB2312" w:eastAsia="仿宋_GB2312" w:cs="仿宋_GB2312"/>
          <w:sz w:val="32"/>
          <w:szCs w:val="32"/>
        </w:rPr>
        <w:t>以工作代实习学分转换学生的《申请表》及相关证明材料</w:t>
      </w:r>
      <w:r>
        <w:rPr>
          <w:rFonts w:hint="eastAsia" w:ascii="仿宋_GB2312" w:hAnsi="仿宋_GB2312" w:eastAsia="仿宋_GB2312" w:cs="仿宋_GB2312"/>
          <w:sz w:val="32"/>
          <w:szCs w:val="32"/>
          <w:lang w:val="en-US" w:eastAsia="zh-CN"/>
        </w:rPr>
        <w:t>的审核工作。</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（三）2023年4月3日—2023年4月14日，学分银行管理中心完成复审工作。</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（四）2023年4月17日—2023年4月21日，教务处完成终审工作。</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（五）2023年4月24日—2023年4月26日，学分银行管理中心集中受理此次学分转换结果申诉。</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三、特别提示</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学校</w:t>
      </w:r>
      <w:r>
        <w:rPr>
          <w:rFonts w:hint="eastAsia" w:ascii="仿宋_GB2312" w:hAnsi="仿宋_GB2312" w:eastAsia="仿宋_GB2312" w:cs="仿宋_GB2312"/>
          <w:sz w:val="32"/>
          <w:szCs w:val="32"/>
        </w:rPr>
        <w:t>依据202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秋</w:t>
      </w:r>
      <w:r>
        <w:rPr>
          <w:rFonts w:hint="eastAsia" w:ascii="仿宋_GB2312" w:hAnsi="仿宋_GB2312" w:eastAsia="仿宋_GB2312" w:cs="仿宋_GB2312"/>
          <w:sz w:val="32"/>
          <w:szCs w:val="32"/>
        </w:rPr>
        <w:t>季学期各校区报送的《花名册》，对已经在平台通过校区初审的学分转换申请进行了复审和终审，现阶段不存在遗漏未审核情况。</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未按照高职扩招学分转换工作通知要求完成平台申请、初审和报送《花名册》的，属于未完成学分转换“申请阶段”工作。凡属于此类情况，且需要继续完成学分转换的，高职扩招各校区应按照本通知要求，补齐缺失的工作环节，随本期一同报送“申请阶段”材料。</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（三）高职扩招各校区在“申请阶段”审核过程中应仔细比对学生证件和学习成果原件信息，确保初审通过</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学生证件与学习成果原件信息一致并符合学分转换要求。</w:t>
      </w:r>
      <w:r>
        <w:rPr>
          <w:rFonts w:hint="eastAsia" w:ascii="仿宋_GB2312" w:hAnsi="仿宋_GB2312" w:eastAsia="仿宋_GB2312" w:cs="仿宋_GB2312"/>
          <w:sz w:val="32"/>
          <w:szCs w:val="32"/>
          <w:lang w:val="en-US" w:eastAsia="zh-CN"/>
        </w:rPr>
        <w:t>其中，各校区在</w:t>
      </w:r>
      <w:r>
        <w:rPr>
          <w:rFonts w:hint="eastAsia" w:ascii="仿宋_GB2312" w:hAnsi="仿宋_GB2312" w:eastAsia="仿宋_GB2312" w:cs="仿宋_GB2312"/>
          <w:sz w:val="32"/>
          <w:szCs w:val="32"/>
        </w:rPr>
        <w:t>对学生实习环节中以工作代实习学分转换申请及岗位工作经历证明材料</w:t>
      </w:r>
      <w:r>
        <w:rPr>
          <w:rFonts w:hint="eastAsia" w:ascii="仿宋_GB2312" w:hAnsi="仿宋_GB2312" w:eastAsia="仿宋_GB2312" w:cs="仿宋_GB2312"/>
          <w:sz w:val="32"/>
          <w:szCs w:val="32"/>
          <w:lang w:val="en-US" w:eastAsia="zh-CN"/>
        </w:rPr>
        <w:t>进行审核时，应遵循</w:t>
      </w:r>
      <w:r>
        <w:rPr>
          <w:rFonts w:hint="eastAsia" w:ascii="仿宋_GB2312" w:hAnsi="仿宋_GB2312" w:eastAsia="仿宋_GB2312" w:cs="仿宋_GB2312"/>
          <w:sz w:val="32"/>
          <w:szCs w:val="32"/>
        </w:rPr>
        <w:t>《郑州信息科技职业学院高职扩招学生实习工作管理办法（试行）》（教函〔2022〕6号）</w:t>
      </w:r>
      <w:r>
        <w:rPr>
          <w:rFonts w:hint="eastAsia" w:ascii="仿宋_GB2312" w:hAnsi="仿宋_GB2312" w:eastAsia="仿宋_GB2312" w:cs="仿宋_GB2312"/>
          <w:sz w:val="32"/>
          <w:szCs w:val="32"/>
          <w:lang w:val="en-US" w:eastAsia="zh-CN"/>
        </w:rPr>
        <w:t>中的相关要求</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（四）学分银行管理中心会将收到的《申请表》及相关证明材料转交各学院，并依据《花名册》和各学院审核过的《申请表》及相关证明材料进行复审。</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高职扩招各校区在本学期学分转换终审工作完成后通知学生自行登录高职扩招学习平台查询学分转换结果，若有疑义，请在此次学分转换结果申诉期内，由校区统一向学分银行管理中心提出申诉。</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（六）因学生个人原因出现学习成果证明材料提交不完整、提交错误等导致学分转换不通过的，本期校区、学院、学分银行管理中心和教务处均不对后续的补充材料进行审核。</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（七）由于在学分转换过程中发现“免修不免考”转换类型存在一定问题，故从本期学分转换工作起，不再进行“免修不免考”的转换，之前已经完成“免修不免考”转换的，转换结果依旧有效。</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 xml:space="preserve">四、联系方式 </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高职扩招各校区负责学分转换工作的人员可通过企业微信“高职扩招全省工作人员群”进行工作咨询；若负责学分转换工作的人员不在此群，请校区教务教学联系人通过企业微信私聊联系群主陈虹苹老师办理进群事宜。</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（二）学分银行管理中心联系人：王婧、杨燕，联系电话：0371-58525607。</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1.高职扩招平台学分转换相关操作方法与注意事项</w:t>
      </w:r>
    </w:p>
    <w:p>
      <w:pPr>
        <w:keepNext w:val="0"/>
        <w:keepLines w:val="0"/>
        <w:pageBreakBefore w:val="0"/>
        <w:widowControl w:val="0"/>
        <w:kinsoku/>
        <w:wordWrap/>
        <w:overflowPunct/>
        <w:topLinePunct w:val="0"/>
        <w:autoSpaceDE/>
        <w:autoSpaceDN/>
        <w:bidi w:val="0"/>
        <w:adjustRightInd/>
        <w:snapToGrid/>
        <w:spacing w:line="579" w:lineRule="exact"/>
        <w:ind w:left="1881" w:leftChars="760" w:hanging="316" w:hangingChars="1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2.关于印发《郑州信息科技职业学院高职扩招学分认定和转换总则（试行）》的通知</w:t>
      </w:r>
    </w:p>
    <w:p>
      <w:pPr>
        <w:keepNext w:val="0"/>
        <w:keepLines w:val="0"/>
        <w:pageBreakBefore w:val="0"/>
        <w:widowControl w:val="0"/>
        <w:kinsoku/>
        <w:wordWrap/>
        <w:overflowPunct/>
        <w:topLinePunct w:val="0"/>
        <w:autoSpaceDE/>
        <w:autoSpaceDN/>
        <w:bidi w:val="0"/>
        <w:adjustRightInd/>
        <w:snapToGrid/>
        <w:spacing w:line="579" w:lineRule="exact"/>
        <w:ind w:firstLine="158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3.郑州信息科技职业学院高职扩招生以工作代实习</w:t>
      </w:r>
    </w:p>
    <w:p>
      <w:pPr>
        <w:keepNext w:val="0"/>
        <w:keepLines w:val="0"/>
        <w:pageBreakBefore w:val="0"/>
        <w:widowControl w:val="0"/>
        <w:kinsoku/>
        <w:wordWrap/>
        <w:overflowPunct/>
        <w:topLinePunct w:val="0"/>
        <w:autoSpaceDE/>
        <w:autoSpaceDN/>
        <w:bidi w:val="0"/>
        <w:adjustRightInd/>
        <w:snapToGrid/>
        <w:spacing w:line="579" w:lineRule="exact"/>
        <w:ind w:firstLine="1896" w:firstLineChars="6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学分转换申请表</w:t>
      </w:r>
    </w:p>
    <w:p>
      <w:pPr>
        <w:keepNext w:val="0"/>
        <w:keepLines w:val="0"/>
        <w:pageBreakBefore w:val="0"/>
        <w:widowControl w:val="0"/>
        <w:kinsoku/>
        <w:wordWrap/>
        <w:overflowPunct/>
        <w:topLinePunct w:val="0"/>
        <w:autoSpaceDE/>
        <w:autoSpaceDN/>
        <w:bidi w:val="0"/>
        <w:adjustRightInd/>
        <w:snapToGrid/>
        <w:spacing w:line="579" w:lineRule="exact"/>
        <w:ind w:firstLine="158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4.郑州信息科技职业学院高职扩招学生学分转换申</w:t>
      </w:r>
    </w:p>
    <w:p>
      <w:pPr>
        <w:keepNext w:val="0"/>
        <w:keepLines w:val="0"/>
        <w:pageBreakBefore w:val="0"/>
        <w:widowControl w:val="0"/>
        <w:kinsoku/>
        <w:wordWrap/>
        <w:overflowPunct/>
        <w:topLinePunct w:val="0"/>
        <w:autoSpaceDE/>
        <w:autoSpaceDN/>
        <w:bidi w:val="0"/>
        <w:adjustRightInd/>
        <w:snapToGrid/>
        <w:spacing w:line="579" w:lineRule="exact"/>
        <w:ind w:firstLine="1896" w:firstLineChars="6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请花名册</w:t>
      </w:r>
    </w:p>
    <w:p>
      <w:pPr>
        <w:keepNext w:val="0"/>
        <w:keepLines w:val="0"/>
        <w:pageBreakBefore w:val="0"/>
        <w:widowControl w:val="0"/>
        <w:kinsoku/>
        <w:wordWrap/>
        <w:overflowPunct/>
        <w:topLinePunct w:val="0"/>
        <w:autoSpaceDE/>
        <w:autoSpaceDN/>
        <w:bidi w:val="0"/>
        <w:adjustRightInd/>
        <w:snapToGrid/>
        <w:spacing w:line="519" w:lineRule="exact"/>
        <w:ind w:firstLine="632"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19" w:lineRule="exact"/>
        <w:ind w:firstLine="632"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19" w:lineRule="exact"/>
        <w:ind w:firstLine="632"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1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郑州信息科技职业学院</w:t>
      </w:r>
    </w:p>
    <w:p>
      <w:pPr>
        <w:keepNext w:val="0"/>
        <w:keepLines w:val="0"/>
        <w:pageBreakBefore w:val="0"/>
        <w:widowControl w:val="0"/>
        <w:kinsoku/>
        <w:wordWrap/>
        <w:overflowPunct/>
        <w:topLinePunct w:val="0"/>
        <w:autoSpaceDE/>
        <w:autoSpaceDN/>
        <w:bidi w:val="0"/>
        <w:adjustRightInd/>
        <w:snapToGrid/>
        <w:spacing w:line="579" w:lineRule="exact"/>
        <w:ind w:left="0" w:leftChars="0" w:right="824" w:rightChars="400" w:firstLine="0" w:firstLineChars="0"/>
        <w:jc w:val="both"/>
        <w:textAlignment w:val="auto"/>
        <w:rPr>
          <w:rFonts w:hint="eastAsia" w:ascii="仿宋_GB2312" w:hAnsi="仿宋_GB2312" w:eastAsia="仿宋_GB2312" w:cs="仿宋_GB2312"/>
          <w:sz w:val="32"/>
          <w:szCs w:val="32"/>
        </w:rPr>
        <w:sectPr>
          <w:footerReference r:id="rId3" w:type="default"/>
          <w:footerReference r:id="rId4" w:type="even"/>
          <w:pgSz w:w="11906" w:h="16838"/>
          <w:pgMar w:top="2098" w:right="1531" w:bottom="1984" w:left="1531" w:header="851" w:footer="1134" w:gutter="0"/>
          <w:pgNumType w:fmt="decimal"/>
          <w:cols w:space="720" w:num="1"/>
          <w:docGrid w:type="linesAndChars" w:linePitch="579" w:charSpace="-849"/>
        </w:sect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val="0"/>
        <w:autoSpaceDN w:val="0"/>
        <w:bidi w:val="0"/>
        <w:adjustRightInd w:val="0"/>
        <w:snapToGrid w:val="0"/>
        <w:spacing w:line="559" w:lineRule="exact"/>
        <w:ind w:right="824" w:rightChars="400"/>
        <w:jc w:val="both"/>
        <w:textAlignment w:val="auto"/>
        <w:rPr>
          <w:rFonts w:hint="default" w:ascii="黑体" w:hAnsi="黑体" w:eastAsia="黑体" w:cs="黑体"/>
          <w:snapToGrid w:val="0"/>
          <w:spacing w:val="20"/>
          <w:kern w:val="0"/>
          <w:sz w:val="32"/>
          <w:szCs w:val="32"/>
          <w:lang w:val="en-US" w:eastAsia="zh-CN"/>
        </w:rPr>
      </w:pPr>
      <w:r>
        <w:rPr>
          <w:rFonts w:hint="eastAsia" w:ascii="黑体" w:hAnsi="黑体" w:eastAsia="黑体" w:cs="黑体"/>
          <w:snapToGrid w:val="0"/>
          <w:spacing w:val="20"/>
          <w:kern w:val="0"/>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after="240" w:line="700" w:lineRule="exact"/>
        <w:jc w:val="center"/>
        <w:textAlignment w:val="auto"/>
        <w:rPr>
          <w:rFonts w:hint="eastAsia"/>
          <w:b/>
          <w:sz w:val="32"/>
          <w:szCs w:val="32"/>
        </w:rPr>
      </w:pPr>
      <w:r>
        <w:rPr>
          <w:rFonts w:hint="eastAsia" w:ascii="方正小标宋简体" w:hAnsi="方正小标宋简体" w:eastAsia="方正小标宋简体" w:cs="方正小标宋简体"/>
          <w:b w:val="0"/>
          <w:bCs/>
          <w:spacing w:val="-17"/>
          <w:sz w:val="44"/>
          <w:szCs w:val="44"/>
        </w:rPr>
        <w:t>高职扩招平台学分转换相关操作方法与注意事项</w:t>
      </w:r>
    </w:p>
    <w:p>
      <w:pPr>
        <w:ind w:firstLine="632" w:firstLineChars="200"/>
        <w:rPr>
          <w:rFonts w:hint="eastAsia" w:ascii="黑体" w:hAnsi="黑体" w:eastAsia="黑体" w:cs="黑体"/>
          <w:b w:val="0"/>
          <w:bCs/>
          <w:sz w:val="32"/>
          <w:szCs w:val="32"/>
        </w:rPr>
      </w:pPr>
      <w:r>
        <w:rPr>
          <w:rFonts w:hint="eastAsia" w:ascii="黑体" w:hAnsi="黑体" w:eastAsia="黑体" w:cs="黑体"/>
          <w:b w:val="0"/>
          <w:bCs/>
          <w:sz w:val="32"/>
          <w:szCs w:val="32"/>
        </w:rPr>
        <w:t>一、查看转换细则方式</w:t>
      </w:r>
    </w:p>
    <w:p>
      <w:pPr>
        <w:keepNext w:val="0"/>
        <w:keepLines w:val="0"/>
        <w:pageBreakBefore w:val="0"/>
        <w:widowControl w:val="0"/>
        <w:kinsoku/>
        <w:wordWrap w:val="0"/>
        <w:overflowPunct/>
        <w:topLinePunct w:val="0"/>
        <w:autoSpaceDE/>
        <w:autoSpaceDN/>
        <w:bidi w:val="0"/>
        <w:adjustRightInd/>
        <w:snapToGrid/>
        <w:spacing w:line="579" w:lineRule="exact"/>
        <w:ind w:firstLine="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Cs/>
          <w:sz w:val="32"/>
          <w:szCs w:val="32"/>
        </w:rPr>
        <w:t>1.</w:t>
      </w:r>
      <w:r>
        <w:rPr>
          <w:rFonts w:hint="eastAsia" w:ascii="仿宋_GB2312" w:hAnsi="仿宋_GB2312" w:eastAsia="仿宋_GB2312" w:cs="仿宋_GB2312"/>
          <w:bCs/>
          <w:sz w:val="32"/>
          <w:szCs w:val="32"/>
          <w:lang w:val="en-US" w:eastAsia="zh-CN"/>
        </w:rPr>
        <w:t>学生</w:t>
      </w:r>
      <w:r>
        <w:rPr>
          <w:rFonts w:hint="eastAsia" w:ascii="仿宋_GB2312" w:hAnsi="仿宋_GB2312" w:eastAsia="仿宋_GB2312" w:cs="仿宋_GB2312"/>
          <w:bCs/>
          <w:sz w:val="32"/>
          <w:szCs w:val="32"/>
        </w:rPr>
        <w:t>查看转换</w:t>
      </w:r>
      <w:r>
        <w:rPr>
          <w:rFonts w:hint="eastAsia" w:ascii="仿宋_GB2312" w:hAnsi="仿宋_GB2312" w:eastAsia="仿宋_GB2312" w:cs="仿宋_GB2312"/>
          <w:bCs/>
          <w:sz w:val="32"/>
          <w:szCs w:val="32"/>
          <w:lang w:val="en-US" w:eastAsia="zh-CN"/>
        </w:rPr>
        <w:t>规则</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val="en-US" w:eastAsia="zh-CN"/>
        </w:rPr>
        <w:t>可</w:t>
      </w:r>
      <w:r>
        <w:rPr>
          <w:rFonts w:hint="eastAsia" w:ascii="仿宋_GB2312" w:hAnsi="仿宋_GB2312" w:eastAsia="仿宋_GB2312" w:cs="仿宋_GB2312"/>
          <w:sz w:val="32"/>
          <w:szCs w:val="32"/>
        </w:rPr>
        <w:t>访问河南省</w:t>
      </w:r>
      <w:r>
        <w:rPr>
          <w:rFonts w:hint="eastAsia" w:ascii="仿宋_GB2312" w:hAnsi="仿宋_GB2312" w:eastAsia="仿宋_GB2312" w:cs="仿宋_GB2312"/>
          <w:sz w:val="32"/>
          <w:szCs w:val="32"/>
          <w:lang w:val="en-US" w:eastAsia="zh-CN"/>
        </w:rPr>
        <w:t>终身教育学分银行网站</w:t>
      </w:r>
      <w:r>
        <w:rPr>
          <w:rFonts w:hint="eastAsia" w:ascii="仿宋_GB2312" w:hAnsi="仿宋_GB2312" w:eastAsia="仿宋_GB2312" w:cs="仿宋_GB2312"/>
          <w:sz w:val="32"/>
          <w:szCs w:val="32"/>
        </w:rPr>
        <w:t>（http://xfyh.open.ha.cn/hn_cbank_cms/zhbz/index.jhtml）</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选择顶部菜单</w:t>
      </w:r>
      <w:r>
        <w:rPr>
          <w:rFonts w:hint="eastAsia" w:ascii="仿宋_GB2312" w:hAnsi="仿宋_GB2312" w:eastAsia="仿宋_GB2312" w:cs="仿宋_GB2312"/>
          <w:sz w:val="32"/>
          <w:szCs w:val="32"/>
          <w:lang w:val="en-US" w:eastAsia="zh-CN"/>
        </w:rPr>
        <w:t>标准体系</w:t>
      </w:r>
      <w:r>
        <w:rPr>
          <w:rFonts w:hint="eastAsia" w:ascii="仿宋_GB2312" w:hAnsi="仿宋_GB2312" w:eastAsia="仿宋_GB2312" w:cs="仿宋_GB2312"/>
          <w:sz w:val="32"/>
          <w:szCs w:val="32"/>
        </w:rPr>
        <w:t>的“</w:t>
      </w:r>
      <w:r>
        <w:rPr>
          <w:rFonts w:hint="eastAsia" w:ascii="仿宋_GB2312" w:hAnsi="仿宋_GB2312" w:eastAsia="仿宋_GB2312" w:cs="仿宋_GB2312"/>
          <w:b/>
          <w:sz w:val="32"/>
          <w:szCs w:val="32"/>
        </w:rPr>
        <w:t>转换标准</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也可登录高职扩招学习平台（云上河开），查看路径为“事务</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lang w:val="en-US" w:eastAsia="zh-CN"/>
        </w:rPr>
        <w:t>查看学分转换规则</w:t>
      </w:r>
      <w:r>
        <w:rPr>
          <w:rFonts w:hint="eastAsia" w:ascii="仿宋_GB2312" w:hAnsi="仿宋_GB2312" w:eastAsia="仿宋_GB2312" w:cs="仿宋_GB2312"/>
          <w:sz w:val="32"/>
          <w:szCs w:val="32"/>
          <w:lang w:val="en-US" w:eastAsia="zh-CN"/>
        </w:rPr>
        <w:t>”，页面如下图所示：</w:t>
      </w:r>
    </w:p>
    <w:p>
      <w:pPr>
        <w:ind w:firstLine="645"/>
        <w:rPr>
          <w:rFonts w:hint="default" w:ascii="仿宋_GB2312" w:hAnsi="仿宋_GB2312" w:cs="仿宋_GB2312"/>
          <w:sz w:val="32"/>
          <w:szCs w:val="32"/>
          <w:lang w:val="en-US" w:eastAsia="zh-CN"/>
        </w:rPr>
      </w:pPr>
      <w:r>
        <w:rPr>
          <w:rFonts w:ascii="宋体" w:hAnsi="宋体" w:eastAsia="宋体" w:cs="宋体"/>
          <w:sz w:val="24"/>
          <w:szCs w:val="24"/>
        </w:rPr>
        <w:drawing>
          <wp:anchor distT="0" distB="0" distL="114935" distR="114935" simplePos="0" relativeHeight="251667456" behindDoc="0" locked="0" layoutInCell="1" allowOverlap="1">
            <wp:simplePos x="0" y="0"/>
            <wp:positionH relativeFrom="column">
              <wp:posOffset>3601720</wp:posOffset>
            </wp:positionH>
            <wp:positionV relativeFrom="paragraph">
              <wp:posOffset>76200</wp:posOffset>
            </wp:positionV>
            <wp:extent cx="1532890" cy="2540000"/>
            <wp:effectExtent l="0" t="0" r="10160" b="12700"/>
            <wp:wrapSquare wrapText="bothSides"/>
            <wp:docPr id="7"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IMG_256"/>
                    <pic:cNvPicPr>
                      <a:picLocks noChangeAspect="1"/>
                    </pic:cNvPicPr>
                  </pic:nvPicPr>
                  <pic:blipFill>
                    <a:blip r:embed="rId8"/>
                    <a:stretch>
                      <a:fillRect/>
                    </a:stretch>
                  </pic:blipFill>
                  <pic:spPr>
                    <a:xfrm>
                      <a:off x="0" y="0"/>
                      <a:ext cx="1532890" cy="2540000"/>
                    </a:xfrm>
                    <a:prstGeom prst="rect">
                      <a:avLst/>
                    </a:prstGeom>
                    <a:noFill/>
                    <a:ln w="9525">
                      <a:noFill/>
                    </a:ln>
                  </pic:spPr>
                </pic:pic>
              </a:graphicData>
            </a:graphic>
          </wp:anchor>
        </w:drawing>
      </w:r>
      <w:r>
        <w:rPr>
          <w:rFonts w:ascii="宋体" w:hAnsi="宋体" w:eastAsia="宋体" w:cs="宋体"/>
          <w:sz w:val="24"/>
          <w:szCs w:val="24"/>
        </w:rPr>
        <w:drawing>
          <wp:anchor distT="0" distB="0" distL="114300" distR="114300" simplePos="0" relativeHeight="251666432" behindDoc="0" locked="0" layoutInCell="1" allowOverlap="1">
            <wp:simplePos x="0" y="0"/>
            <wp:positionH relativeFrom="column">
              <wp:posOffset>132715</wp:posOffset>
            </wp:positionH>
            <wp:positionV relativeFrom="paragraph">
              <wp:posOffset>76200</wp:posOffset>
            </wp:positionV>
            <wp:extent cx="2689225" cy="2441575"/>
            <wp:effectExtent l="0" t="0" r="15875" b="15875"/>
            <wp:wrapSquare wrapText="bothSides"/>
            <wp:docPr id="9"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IMG_256"/>
                    <pic:cNvPicPr>
                      <a:picLocks noChangeAspect="1"/>
                    </pic:cNvPicPr>
                  </pic:nvPicPr>
                  <pic:blipFill>
                    <a:blip r:embed="rId9"/>
                    <a:stretch>
                      <a:fillRect/>
                    </a:stretch>
                  </pic:blipFill>
                  <pic:spPr>
                    <a:xfrm>
                      <a:off x="0" y="0"/>
                      <a:ext cx="2689225" cy="2441575"/>
                    </a:xfrm>
                    <a:prstGeom prst="rect">
                      <a:avLst/>
                    </a:prstGeom>
                    <a:noFill/>
                    <a:ln w="9525">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default" w:ascii="仿宋_GB2312" w:hAnsi="仿宋_GB2312" w:cs="仿宋_GB2312"/>
          <w:sz w:val="32"/>
          <w:szCs w:val="32"/>
          <w:lang w:val="en-US" w:eastAsia="zh-CN"/>
        </w:rPr>
        <w:drawing>
          <wp:anchor distT="0" distB="0" distL="114300" distR="114300" simplePos="0" relativeHeight="251663360" behindDoc="0" locked="0" layoutInCell="1" allowOverlap="1">
            <wp:simplePos x="0" y="0"/>
            <wp:positionH relativeFrom="column">
              <wp:posOffset>-2917825</wp:posOffset>
            </wp:positionH>
            <wp:positionV relativeFrom="paragraph">
              <wp:posOffset>1134110</wp:posOffset>
            </wp:positionV>
            <wp:extent cx="5607050" cy="1745615"/>
            <wp:effectExtent l="0" t="0" r="12700" b="6985"/>
            <wp:wrapSquare wrapText="bothSides"/>
            <wp:docPr id="10" name="图片 2" descr="mmexport1663037557728_edit_397441430297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mmexport1663037557728_edit_397441430297165"/>
                    <pic:cNvPicPr>
                      <a:picLocks noChangeAspect="1"/>
                    </pic:cNvPicPr>
                  </pic:nvPicPr>
                  <pic:blipFill>
                    <a:blip r:embed="rId10"/>
                    <a:stretch>
                      <a:fillRect/>
                    </a:stretch>
                  </pic:blipFill>
                  <pic:spPr>
                    <a:xfrm>
                      <a:off x="0" y="0"/>
                      <a:ext cx="5607050" cy="174561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rPr>
        <w:t>2.</w:t>
      </w:r>
      <w:r>
        <w:rPr>
          <w:rFonts w:hint="eastAsia" w:ascii="仿宋_GB2312" w:hAnsi="仿宋_GB2312" w:eastAsia="仿宋_GB2312" w:cs="仿宋_GB2312"/>
          <w:bCs/>
          <w:sz w:val="32"/>
          <w:szCs w:val="32"/>
          <w:lang w:val="en-US" w:eastAsia="zh-CN"/>
        </w:rPr>
        <w:t>校区工作人员</w:t>
      </w:r>
      <w:r>
        <w:rPr>
          <w:rFonts w:hint="eastAsia" w:ascii="仿宋_GB2312" w:hAnsi="仿宋_GB2312" w:eastAsia="仿宋_GB2312" w:cs="仿宋_GB2312"/>
          <w:bCs/>
          <w:sz w:val="32"/>
          <w:szCs w:val="32"/>
        </w:rPr>
        <w:t>查看</w:t>
      </w:r>
      <w:r>
        <w:rPr>
          <w:rFonts w:hint="eastAsia" w:ascii="仿宋_GB2312" w:hAnsi="仿宋_GB2312" w:eastAsia="仿宋_GB2312" w:cs="仿宋_GB2312"/>
          <w:bCs/>
          <w:sz w:val="32"/>
          <w:szCs w:val="32"/>
          <w:lang w:val="en-US" w:eastAsia="zh-CN"/>
        </w:rPr>
        <w:t>转换规则</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val="en-US" w:eastAsia="zh-CN"/>
        </w:rPr>
        <w:t>可</w:t>
      </w:r>
      <w:r>
        <w:rPr>
          <w:rFonts w:hint="eastAsia" w:ascii="仿宋_GB2312" w:hAnsi="仿宋_GB2312" w:eastAsia="仿宋_GB2312" w:cs="仿宋_GB2312"/>
          <w:bCs/>
          <w:sz w:val="32"/>
          <w:szCs w:val="32"/>
        </w:rPr>
        <w:t>访问高职扩招教务平台。查看路径为“学籍管理</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查询统计</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查询学分转换规则”，页面如下图所示</w:t>
      </w:r>
      <w:r>
        <w:rPr>
          <w:rFonts w:hint="eastAsia" w:ascii="仿宋_GB2312" w:hAnsi="仿宋_GB2312" w:eastAsia="仿宋_GB2312" w:cs="仿宋_GB2312"/>
          <w:bCs/>
          <w:sz w:val="32"/>
          <w:szCs w:val="32"/>
          <w:lang w:eastAsia="zh-CN"/>
        </w:rPr>
        <w:t>：</w:t>
      </w:r>
    </w:p>
    <w:p>
      <w:pPr>
        <w:ind w:firstLine="660"/>
        <w:rPr>
          <w:sz w:val="32"/>
          <w:szCs w:val="32"/>
        </w:rPr>
      </w:pPr>
      <w:r>
        <w:drawing>
          <wp:inline distT="0" distB="0" distL="114300" distR="114300">
            <wp:extent cx="4440555" cy="1821180"/>
            <wp:effectExtent l="0" t="0" r="17145" b="762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11"/>
                    <a:stretch>
                      <a:fillRect/>
                    </a:stretch>
                  </pic:blipFill>
                  <pic:spPr>
                    <a:xfrm>
                      <a:off x="0" y="0"/>
                      <a:ext cx="4440555" cy="1821180"/>
                    </a:xfrm>
                    <a:prstGeom prst="rect">
                      <a:avLst/>
                    </a:prstGeom>
                    <a:noFill/>
                    <a:ln>
                      <a:noFill/>
                    </a:ln>
                  </pic:spPr>
                </pic:pic>
              </a:graphicData>
            </a:graphic>
          </wp:inline>
        </w:drawing>
      </w:r>
      <w:r>
        <w:rPr>
          <w:rFonts w:hint="eastAsia"/>
          <w:sz w:val="32"/>
          <w:szCs w:val="32"/>
        </w:rPr>
        <w:t xml:space="preserve">   </w:t>
      </w:r>
    </w:p>
    <w:p>
      <w:pPr>
        <w:spacing w:before="240"/>
        <w:rPr>
          <w:rFonts w:hint="eastAsia" w:ascii="黑体" w:hAnsi="黑体" w:eastAsia="黑体" w:cs="黑体"/>
          <w:b w:val="0"/>
          <w:bCs/>
          <w:sz w:val="32"/>
          <w:szCs w:val="32"/>
        </w:rPr>
      </w:pPr>
      <w:r>
        <w:rPr>
          <w:rFonts w:hint="eastAsia" w:ascii="黑体" w:hAnsi="黑体" w:eastAsia="黑体" w:cs="黑体"/>
          <w:b w:val="0"/>
          <w:bCs/>
          <w:sz w:val="32"/>
          <w:szCs w:val="32"/>
        </w:rPr>
        <w:t>二、学分认定和转换操作方法</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高职扩招教务平台学分认定和转换操作页面路径为：学籍管理</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学分转换</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初审学分转换。</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1.学分认定和转换申请</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点击“添加”，弹出申请学分转换窗口，如下图所示。</w:t>
      </w:r>
    </w:p>
    <w:p>
      <w:pPr>
        <w:ind w:firstLine="412" w:firstLineChars="200"/>
        <w:jc w:val="left"/>
        <w:rPr>
          <w:sz w:val="32"/>
          <w:szCs w:val="32"/>
        </w:rPr>
      </w:pPr>
      <w:r>
        <w:drawing>
          <wp:inline distT="0" distB="0" distL="114300" distR="114300">
            <wp:extent cx="4311015" cy="2606040"/>
            <wp:effectExtent l="0" t="0" r="13335" b="381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12"/>
                    <a:stretch>
                      <a:fillRect/>
                    </a:stretch>
                  </pic:blipFill>
                  <pic:spPr>
                    <a:xfrm>
                      <a:off x="0" y="0"/>
                      <a:ext cx="4311015" cy="2606040"/>
                    </a:xfrm>
                    <a:prstGeom prst="rect">
                      <a:avLst/>
                    </a:prstGeom>
                    <a:noFill/>
                    <a:ln>
                      <a:noFill/>
                    </a:ln>
                  </pic:spPr>
                </pic:pic>
              </a:graphicData>
            </a:graphic>
          </wp:inline>
        </w:drawing>
      </w:r>
    </w:p>
    <w:p>
      <w:pPr>
        <w:ind w:firstLine="412" w:firstLineChars="200"/>
        <w:rPr>
          <w:sz w:val="32"/>
          <w:szCs w:val="32"/>
        </w:rPr>
      </w:pPr>
      <w:r>
        <w:drawing>
          <wp:inline distT="0" distB="0" distL="114300" distR="114300">
            <wp:extent cx="4488815" cy="3970655"/>
            <wp:effectExtent l="0" t="0" r="6985" b="10795"/>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3"/>
                    <a:stretch>
                      <a:fillRect/>
                    </a:stretch>
                  </pic:blipFill>
                  <pic:spPr>
                    <a:xfrm>
                      <a:off x="0" y="0"/>
                      <a:ext cx="4488815" cy="397065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在上图所示申请学分转换窗口中，首先，录入学号，查询学生信息；其次，根据学习成果和转换细则，在窗口中选择转换类型、成果类型、成果名称。</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选择完毕后，若窗口下方的可转换课程列表中出现待选课程，则勾选要转换的课程；若窗口下方的可转换课程列表中无任何课程，则表示该成果当前学期无可转换课程，可在其他学期申请。</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最后，由校区管理人员上传身份证、学习成果等材料照片，并提交申请。</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mc:AlternateContent>
          <mc:Choice Requires="wps">
            <w:drawing>
              <wp:anchor distT="0" distB="0" distL="114300" distR="114300" simplePos="0" relativeHeight="251662336" behindDoc="0" locked="0" layoutInCell="1" allowOverlap="1">
                <wp:simplePos x="0" y="0"/>
                <wp:positionH relativeFrom="column">
                  <wp:posOffset>4305300</wp:posOffset>
                </wp:positionH>
                <wp:positionV relativeFrom="paragraph">
                  <wp:posOffset>2192655</wp:posOffset>
                </wp:positionV>
                <wp:extent cx="314325" cy="161925"/>
                <wp:effectExtent l="4445" t="4445" r="5080" b="5080"/>
                <wp:wrapNone/>
                <wp:docPr id="14" name="矩形 14"/>
                <wp:cNvGraphicFramePr/>
                <a:graphic xmlns:a="http://schemas.openxmlformats.org/drawingml/2006/main">
                  <a:graphicData uri="http://schemas.microsoft.com/office/word/2010/wordprocessingShape">
                    <wps:wsp>
                      <wps:cNvSpPr/>
                      <wps:spPr>
                        <a:xfrm>
                          <a:off x="0" y="0"/>
                          <a:ext cx="314325" cy="161925"/>
                        </a:xfrm>
                        <a:prstGeom prst="rect">
                          <a:avLst/>
                        </a:prstGeom>
                        <a:noFill/>
                        <a:ln w="9525" cap="flat" cmpd="sng">
                          <a:solidFill>
                            <a:srgbClr val="FF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9pt;margin-top:172.65pt;height:12.75pt;width:24.75pt;z-index:251662336;mso-width-relative:page;mso-height-relative:page;" filled="f" stroked="t" coordsize="21600,21600" o:gfxdata="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Fj1rn7cAAAACwEA&#10;AA8AAAAAAAAAAQAgAAAAIgAAAGRycy9kb3ducmV2LnhtbFBLAQIUABQAAAAIAIdO4kCV+OtF3QEA&#10;AKgDAAAOAAAAAAAAAAEAIAAAACsBAABkcnMvZTJvRG9jLnhtbFBLBQYAAAAABgAGAFkBAAB6BQAA&#10;AAA=&#10;">
                <v:fill on="f" focussize="0,0"/>
                <v:stroke color="#FF0000" joinstyle="miter"/>
                <v:imagedata o:title=""/>
                <o:lock v:ext="edit" aspectratio="f"/>
              </v:rect>
            </w:pict>
          </mc:Fallback>
        </mc:AlternateContent>
      </w:r>
      <w:r>
        <w:rPr>
          <w:rFonts w:hint="eastAsia" w:ascii="仿宋_GB2312" w:hAnsi="仿宋_GB2312" w:eastAsia="仿宋_GB2312" w:cs="仿宋_GB2312"/>
          <w:b/>
          <w:bCs w:val="0"/>
          <w:sz w:val="32"/>
          <w:szCs w:val="32"/>
        </w:rPr>
        <w:t>2.初审操作</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按照路径：学籍管理</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学分转换</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初审学分转换，即可在初审学分转换申请页面看到学分申请列表，如下图所示。</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各校区在该列表最右侧“操作”列，完成初审操作。</w:t>
      </w:r>
    </w:p>
    <w:p>
      <w:pPr>
        <w:ind w:firstLine="206" w:firstLineChars="100"/>
        <w:rPr>
          <w:sz w:val="32"/>
          <w:szCs w:val="32"/>
        </w:rPr>
      </w:pPr>
      <w:r>
        <w:drawing>
          <wp:inline distT="0" distB="0" distL="114300" distR="114300">
            <wp:extent cx="5274310" cy="1897380"/>
            <wp:effectExtent l="0" t="0" r="2540" b="7620"/>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14"/>
                    <a:stretch>
                      <a:fillRect/>
                    </a:stretch>
                  </pic:blipFill>
                  <pic:spPr>
                    <a:xfrm>
                      <a:off x="0" y="0"/>
                      <a:ext cx="5274310" cy="189738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三、注意事项</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1.身份证应上传正面与反面照片。</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2.各类证件照片应调整至正确方向，再上传平台。</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3.上传到平台的各类照片均为证件原件彩色照片，上传证件复印件照片视为无效信息。</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4.上传证件照片，应确保证件内容完整清晰，避免非证件信息背景出现。</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5.证明材料支持 PNG、JPG、PDF格式，每个材料上传大小限 5M以内。</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6.转换类型、成果类型、成果名称均为必填项，用以查询出可转换的课程列表； </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rPr>
        <w:t>7.因申请材料不全未被审核通过者，可在规定时间内补全材料，重新提交申请，并再次制作《高职扩招学生学分转换申请花名册》，签字盖章后报送学分银行管理中心。</w:t>
      </w:r>
    </w:p>
    <w:p>
      <w:pPr>
        <w:keepNext w:val="0"/>
        <w:keepLines w:val="0"/>
        <w:pageBreakBefore w:val="0"/>
        <w:widowControl w:val="0"/>
        <w:kinsoku/>
        <w:wordWrap/>
        <w:overflowPunct/>
        <w:topLinePunct w:val="0"/>
        <w:autoSpaceDE w:val="0"/>
        <w:autoSpaceDN w:val="0"/>
        <w:bidi w:val="0"/>
        <w:adjustRightInd w:val="0"/>
        <w:snapToGrid w:val="0"/>
        <w:spacing w:line="559" w:lineRule="exact"/>
        <w:ind w:right="824" w:rightChars="400"/>
        <w:jc w:val="left"/>
        <w:textAlignment w:val="auto"/>
        <w:rPr>
          <w:rFonts w:hint="default" w:ascii="黑体" w:hAnsi="黑体" w:eastAsia="黑体" w:cs="黑体"/>
          <w:snapToGrid w:val="0"/>
          <w:spacing w:val="20"/>
          <w:kern w:val="0"/>
          <w:sz w:val="32"/>
          <w:szCs w:val="32"/>
          <w:lang w:val="en-US" w:eastAsia="zh-CN"/>
        </w:rPr>
      </w:pPr>
      <w:r>
        <w:rPr>
          <w:rFonts w:hint="eastAsia" w:ascii="黑体" w:hAnsi="黑体" w:eastAsia="黑体" w:cs="黑体"/>
          <w:snapToGrid w:val="0"/>
          <w:spacing w:val="20"/>
          <w:kern w:val="0"/>
          <w:sz w:val="32"/>
          <w:szCs w:val="32"/>
          <w:lang w:val="en-US" w:eastAsia="zh-CN"/>
        </w:rPr>
        <w:t>附件2</w:t>
      </w:r>
    </w:p>
    <w:p>
      <w:pPr>
        <w:jc w:val="center"/>
        <w:rPr>
          <w:rFonts w:hint="eastAsia" w:ascii="方正小标宋简体" w:eastAsia="方正小标宋简体"/>
          <w:bCs/>
          <w:color w:val="FF0000"/>
          <w:w w:val="80"/>
          <w:sz w:val="90"/>
          <w:szCs w:val="90"/>
        </w:rPr>
      </w:pPr>
      <w:r>
        <w:rPr>
          <w:rFonts w:hint="eastAsia" w:ascii="方正小标宋简体" w:eastAsia="方正小标宋简体"/>
          <w:bCs/>
          <w:color w:val="FF0000"/>
          <w:w w:val="80"/>
          <w:sz w:val="90"/>
          <w:szCs w:val="90"/>
        </w:rPr>
        <w:t>郑州信息科技职业学院文件</w:t>
      </w:r>
    </w:p>
    <w:p>
      <w:pPr>
        <w:spacing w:line="579" w:lineRule="exact"/>
        <w:jc w:val="center"/>
        <w:rPr>
          <w:rFonts w:ascii="仿宋_GB2312"/>
          <w:szCs w:val="32"/>
        </w:rPr>
      </w:pPr>
    </w:p>
    <w:p>
      <w:pPr>
        <w:spacing w:line="579" w:lineRule="exact"/>
        <w:ind w:left="206" w:leftChars="100" w:right="206" w:rightChars="100"/>
        <w:jc w:val="center"/>
        <w:rPr>
          <w:rFonts w:hint="eastAsia" w:ascii="仿宋_GB2312" w:hAnsi="仿宋_GB2312" w:eastAsia="仿宋_GB2312" w:cs="仿宋_GB2312"/>
          <w:bCs/>
          <w:sz w:val="32"/>
          <w:szCs w:val="32"/>
        </w:rPr>
      </w:pPr>
      <w:r>
        <w:rPr>
          <w:rFonts w:hint="eastAsia" w:ascii="仿宋_GB2312" w:hAnsi="仿宋_GB2312" w:eastAsia="仿宋_GB2312" w:cs="仿宋_GB2312"/>
          <w:color w:val="000000"/>
          <w:sz w:val="32"/>
          <w:szCs w:val="32"/>
        </w:rPr>
        <w:t>院〔2020〕32号</w:t>
      </w:r>
      <w:r>
        <w:rPr>
          <w:rFonts w:hint="eastAsia" w:ascii="仿宋_GB2312" w:hAnsi="仿宋_GB2312" w:eastAsia="仿宋_GB2312" w:cs="仿宋_GB2312"/>
          <w:sz w:val="32"/>
          <w:szCs w:val="32"/>
        </w:rPr>
        <w:t xml:space="preserve">                        </w:t>
      </w:r>
    </w:p>
    <w:p>
      <w:pPr>
        <w:autoSpaceDE w:val="0"/>
        <w:autoSpaceDN w:val="0"/>
        <w:adjustRightInd w:val="0"/>
        <w:spacing w:line="579" w:lineRule="exact"/>
        <w:jc w:val="center"/>
        <w:rPr>
          <w:rFonts w:hint="eastAsia" w:ascii="仿宋_GB2312" w:hAnsi="宋体"/>
          <w:bCs/>
          <w:szCs w:val="32"/>
        </w:rPr>
      </w:pPr>
      <w:r>
        <w:rPr>
          <w:color w:val="FF0000"/>
          <w:sz w:val="110"/>
          <w:szCs w:val="110"/>
        </w:rPr>
        <mc:AlternateContent>
          <mc:Choice Requires="wps">
            <w:drawing>
              <wp:anchor distT="0" distB="0" distL="114300" distR="114300" simplePos="0" relativeHeight="251664384" behindDoc="0" locked="0" layoutInCell="1" allowOverlap="1">
                <wp:simplePos x="0" y="0"/>
                <wp:positionH relativeFrom="column">
                  <wp:posOffset>57150</wp:posOffset>
                </wp:positionH>
                <wp:positionV relativeFrom="paragraph">
                  <wp:posOffset>86995</wp:posOffset>
                </wp:positionV>
                <wp:extent cx="5495290" cy="9525"/>
                <wp:effectExtent l="0" t="9525" r="10160" b="9525"/>
                <wp:wrapNone/>
                <wp:docPr id="16" name="直接连接符 16"/>
                <wp:cNvGraphicFramePr/>
                <a:graphic xmlns:a="http://schemas.openxmlformats.org/drawingml/2006/main">
                  <a:graphicData uri="http://schemas.microsoft.com/office/word/2010/wordprocessingShape">
                    <wps:wsp>
                      <wps:cNvCnPr/>
                      <wps:spPr>
                        <a:xfrm flipV="1">
                          <a:off x="0" y="0"/>
                          <a:ext cx="5495290" cy="9525"/>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4.5pt;margin-top:6.85pt;height:0.75pt;width:432.7pt;z-index:251664384;mso-width-relative:page;mso-height-relative:page;" filled="f" stroked="t" coordsize="21600,21600" o:gfxdata="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nW9yc2AAA&#10;AAcBAAAPAAAAAAAAAAEAIAAAACIAAABkcnMvZG93bnJldi54bWxQSwECFAAUAAAACACHTuJApM7s&#10;o+UBAACmAwAADgAAAAAAAAABACAAAAAnAQAAZHJzL2Uyb0RvYy54bWxQSwUGAAAAAAYABgBZAQAA&#10;fgUAAAAA&#10;">
                <v:fill on="f" focussize="0,0"/>
                <v:stroke weight="1.5pt" color="#FF0000" joinstyle="round"/>
                <v:imagedata o:title=""/>
                <o:lock v:ext="edit" aspectratio="f"/>
              </v:line>
            </w:pict>
          </mc:Fallback>
        </mc:AlternateContent>
      </w:r>
    </w:p>
    <w:p>
      <w:pPr>
        <w:autoSpaceDE w:val="0"/>
        <w:autoSpaceDN w:val="0"/>
        <w:adjustRightInd w:val="0"/>
        <w:spacing w:line="579" w:lineRule="exact"/>
        <w:jc w:val="center"/>
        <w:rPr>
          <w:rFonts w:hint="eastAsia" w:ascii="仿宋_GB2312" w:hAnsi="宋体"/>
          <w:bCs/>
          <w:szCs w:val="32"/>
        </w:rPr>
      </w:pPr>
    </w:p>
    <w:p>
      <w:pPr>
        <w:spacing w:line="700" w:lineRule="exact"/>
        <w:jc w:val="center"/>
        <w:rPr>
          <w:rFonts w:ascii="方正小标宋简体" w:eastAsia="方正小标宋简体"/>
          <w:sz w:val="44"/>
          <w:szCs w:val="44"/>
        </w:rPr>
      </w:pPr>
      <w:r>
        <w:rPr>
          <w:rFonts w:hint="eastAsia" w:ascii="方正小标宋简体" w:eastAsia="方正小标宋简体"/>
          <w:sz w:val="44"/>
          <w:szCs w:val="44"/>
        </w:rPr>
        <w:t>关于印发《郑州信息科技职业学院</w:t>
      </w:r>
    </w:p>
    <w:p>
      <w:pPr>
        <w:spacing w:line="700" w:lineRule="exact"/>
        <w:jc w:val="center"/>
        <w:rPr>
          <w:rFonts w:hint="eastAsia" w:ascii="方正小标宋简体" w:eastAsia="方正小标宋简体"/>
          <w:spacing w:val="-10"/>
          <w:sz w:val="44"/>
          <w:szCs w:val="44"/>
        </w:rPr>
      </w:pPr>
      <w:r>
        <w:rPr>
          <w:rFonts w:hint="eastAsia" w:ascii="方正小标宋简体" w:eastAsia="方正小标宋简体"/>
          <w:spacing w:val="-10"/>
          <w:sz w:val="44"/>
          <w:szCs w:val="44"/>
        </w:rPr>
        <w:t>高职扩招学分认定和转换总则（试行）》的通知</w:t>
      </w:r>
    </w:p>
    <w:p>
      <w:pPr>
        <w:spacing w:line="579" w:lineRule="exact"/>
      </w:pPr>
    </w:p>
    <w:p>
      <w:pPr>
        <w:spacing w:line="579"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各校区、校内相关部门：</w:t>
      </w:r>
    </w:p>
    <w:p>
      <w:pPr>
        <w:spacing w:line="579" w:lineRule="exact"/>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《郑州信息科技职业学院高职扩招学分认定和转换总则（试行）》已经校长办公会研究通过，现印发给你们，请遵照执行。</w:t>
      </w:r>
    </w:p>
    <w:p>
      <w:pPr>
        <w:spacing w:line="579" w:lineRule="exact"/>
      </w:pPr>
    </w:p>
    <w:p>
      <w:pPr>
        <w:spacing w:line="579" w:lineRule="exact"/>
        <w:ind w:firstLine="632" w:firstLineChars="200"/>
        <w:rPr>
          <w:rFonts w:hint="eastAsia" w:ascii="仿宋_GB2312" w:hAnsi="仿宋_GB2312" w:eastAsia="仿宋_GB2312" w:cs="仿宋_GB2312"/>
          <w:sz w:val="32"/>
          <w:szCs w:val="32"/>
        </w:rPr>
      </w:pPr>
    </w:p>
    <w:p>
      <w:pPr>
        <w:spacing w:line="579" w:lineRule="exact"/>
        <w:ind w:firstLine="632" w:firstLineChars="200"/>
        <w:rPr>
          <w:rFonts w:hint="eastAsia" w:ascii="仿宋_GB2312" w:hAnsi="仿宋_GB2312" w:eastAsia="仿宋_GB2312" w:cs="仿宋_GB2312"/>
          <w:sz w:val="32"/>
          <w:szCs w:val="32"/>
        </w:rPr>
      </w:pPr>
    </w:p>
    <w:p>
      <w:pPr>
        <w:spacing w:line="579" w:lineRule="exact"/>
        <w:ind w:firstLine="4424" w:firstLineChars="1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郑州信息科技职业学院</w:t>
      </w:r>
    </w:p>
    <w:p>
      <w:pPr>
        <w:spacing w:line="579" w:lineRule="exact"/>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2020年11月10日</w:t>
      </w:r>
    </w:p>
    <w:p>
      <w:pPr>
        <w:rPr>
          <w:rFonts w:ascii="黑体" w:hAnsi="黑体" w:eastAsia="黑体"/>
        </w:rPr>
      </w:pPr>
    </w:p>
    <w:p>
      <w:pPr>
        <w:spacing w:line="700" w:lineRule="exact"/>
        <w:jc w:val="center"/>
        <w:rPr>
          <w:rFonts w:hint="eastAsia" w:ascii="方正小标宋简体" w:eastAsia="方正小标宋简体"/>
          <w:sz w:val="44"/>
          <w:szCs w:val="44"/>
        </w:rPr>
      </w:pPr>
      <w:r>
        <w:rPr>
          <w:rFonts w:hint="eastAsia" w:ascii="方正小标宋简体" w:eastAsia="方正小标宋简体"/>
          <w:sz w:val="44"/>
          <w:szCs w:val="44"/>
        </w:rPr>
        <w:t>郑州信息科技职业学院</w:t>
      </w:r>
    </w:p>
    <w:p>
      <w:pPr>
        <w:spacing w:line="700" w:lineRule="exact"/>
        <w:jc w:val="center"/>
        <w:rPr>
          <w:rFonts w:hint="eastAsia" w:ascii="方正小标宋简体" w:eastAsia="方正小标宋简体"/>
          <w:sz w:val="44"/>
          <w:szCs w:val="44"/>
        </w:rPr>
      </w:pPr>
      <w:r>
        <w:rPr>
          <w:rFonts w:hint="eastAsia" w:ascii="方正小标宋简体" w:eastAsia="方正小标宋简体"/>
          <w:sz w:val="44"/>
          <w:szCs w:val="44"/>
        </w:rPr>
        <w:t>高职扩招学分认定和转换总则（试行）</w:t>
      </w:r>
    </w:p>
    <w:p>
      <w:pPr>
        <w:spacing w:line="560" w:lineRule="exact"/>
        <w:ind w:firstLine="412" w:firstLineChars="200"/>
        <w:rPr>
          <w:rFonts w:ascii="仿宋_GB2312"/>
        </w:rPr>
      </w:pP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河南省教育厅《关于做好高等职业院校扩招工作的通知》（教办职成〔2019〕401号）要求，实现各级各类教育学分认定、积累和转换，拓宽技术技能人才成长通道，依据教育部《关于做好扩招后高职教育教学管理工作的指导意见》（教职成厅函〔2019〕20号）、《河南省终身教育学分银行实施方案》和《郑州信息科技职业学院高职扩招专项工作实施方案》，特制定本总则。</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一、学历课程的学分认定和转换</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（一）学生已获得的国民教育系列专科及以上学历层次课程, 与现修读专业人才培养方案课程名称相同或相近，根据教学内容的相关度，可认定和转换为对应课程的部分或全部学分。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（二）学生被认定和转换的学分，最高不得超过专业人才培养方案毕业总学分的50%。</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（三）认定有效期为从学生获得该学历课程成绩之日起 6年内有效（含第6年）。</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二、慕课的学分认定和转换</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学生已获得的在教育部、省教育厅认可的开课平台上（爱课程、中国大学MOOC、智慧树、华文慕课、学堂在线、好大学在线、人卫慕课等）学习的“双万计划”精品在线开放课程，与现修读专业人才培养方案课程名称相同或相近，根据教学内容的相关度，可认定和转换为对应课程的部分或全部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（二）学生被认定和转换的学分，最高不得超过专业人才培养方案毕业总学分的50%。</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（三）认定有效期为从学生获得该在线课程成绩之日起 6年内有效（含第6年）。</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（四）转换为公共基础课、选修课，可以免修免考，直接认定学分；转换为专业人才培养方案其它模块课程，可以免修课程，但不免考，须参加学校相应课程的期末考试，考试通过者，可认定学分。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三、职业(执业)资格、专业等级证书和职业技能等级（1+X）证书等的学分认定和转换</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（一）学生已获得的国家认可的职业（执业）资格、专业等级证书、1+X证书，根据证书级别和内容相关度，可认定和转换为对应课程的部分或全部学分。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（二）学生被认定和转换的学分，最高不得超过专业人才培养方案毕业总学分的50%。</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（三）单个证书转换专业核心课程，一般不超过2门（含2门），转换专业核心课程学分一般不超过8学分（含8学分）。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（四）初级职业（执业）资格证书（如：车工五级证、钳工五级证等），可以转换相应的实习、实训课程。</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四、培训证书或工作经历成果的学分认定和转换</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学生参加各种技能、专业、岗位等培训，并获得社会认可，或列入专业人才培养方案企业颁发的培训证书、工作经历成果（如：专利、课题项目、论文、科研成果、岗位先进能手标兵、现役或退役证书等），根据培训、工作成果级别和内容与课程的相关度，可认定和转换为对应课程的部分或全部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（二）学生被认定和转换的学分，最高不得超过专业人才培养方案毕业总学分的30%。</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（三）认定有效期为从学生获得该成果之日起6年内有效（含第6年）。</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（四）从事与现修读专业相同或相近岗位工作满一年以上，年度考评为合格及以上，可以转换为相应课程的实践教学和认识实习、跟岗实习、顶岗实习环节学分。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五、技能奖项或荣誉称号的学分认定和转换</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（一）学生已获得县、团级及以上和我校组织的相关专业技能竞赛奖项或荣誉称号，根据成果内容、级别和名次，可认定和转换为对应课程的部分或全部学分。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（二）学生被认定和转换的学分，最高不得超过专业人才培养方案毕业总学分的20%。</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（三）认定有效期为从学生获得该奖项或荣誉称号之日起 6年内有效（含第6年）。</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六、其他规定</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（一）申请学分认定和转换，一经确认原则上不得撤销或变更。</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（二）学生被认定和转换的学分累计总和，最高不得超过专业人才培养方案毕业总学分的60%。</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（三）相同学习成果不得重复转换，以最高认定的学分进行转换。</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（四）原则上未列入专业人才培养方案的企业工作内容、时间等不能转换学分。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w:t>
      </w:r>
      <w:r>
        <w:rPr>
          <w:rFonts w:hint="eastAsia" w:ascii="仿宋_GB2312" w:hAnsi="仿宋_GB2312" w:eastAsia="仿宋_GB2312" w:cs="仿宋_GB2312"/>
          <w:spacing w:val="-8"/>
          <w:sz w:val="32"/>
          <w:szCs w:val="32"/>
        </w:rPr>
        <w:t>学分认定和转换具体规则参见《郑州信息科技职业学院高职扩招学分认定和转换细则》</w:t>
      </w:r>
      <w:r>
        <w:rPr>
          <w:rFonts w:hint="eastAsia" w:ascii="仿宋_GB2312" w:hAnsi="仿宋_GB2312" w:eastAsia="仿宋_GB2312" w:cs="仿宋_GB2312"/>
          <w:spacing w:val="-20"/>
          <w:w w:val="90"/>
          <w:sz w:val="32"/>
          <w:szCs w:val="32"/>
        </w:rPr>
        <w:t>（</w:t>
      </w:r>
      <w:r>
        <w:rPr>
          <w:rFonts w:hint="eastAsia" w:ascii="仿宋_GB2312" w:hAnsi="仿宋_GB2312" w:eastAsia="仿宋_GB2312" w:cs="仿宋_GB2312"/>
          <w:spacing w:val="-20"/>
          <w:w w:val="90"/>
          <w:sz w:val="32"/>
          <w:szCs w:val="32"/>
        </w:rPr>
        <w:fldChar w:fldCharType="begin"/>
      </w:r>
      <w:r>
        <w:rPr>
          <w:rFonts w:hint="eastAsia" w:ascii="仿宋_GB2312" w:hAnsi="仿宋_GB2312" w:eastAsia="仿宋_GB2312" w:cs="仿宋_GB2312"/>
          <w:spacing w:val="-20"/>
          <w:w w:val="90"/>
          <w:sz w:val="32"/>
          <w:szCs w:val="32"/>
        </w:rPr>
        <w:instrText xml:space="preserve"> HYPERLINK "http://xfyh.open.ha.cn/gzkzzhxz.aspx" </w:instrText>
      </w:r>
      <w:r>
        <w:rPr>
          <w:rFonts w:hint="eastAsia" w:ascii="仿宋_GB2312" w:hAnsi="仿宋_GB2312" w:eastAsia="仿宋_GB2312" w:cs="仿宋_GB2312"/>
          <w:spacing w:val="-20"/>
          <w:w w:val="90"/>
          <w:sz w:val="32"/>
          <w:szCs w:val="32"/>
        </w:rPr>
        <w:fldChar w:fldCharType="separate"/>
      </w:r>
      <w:r>
        <w:rPr>
          <w:rStyle w:val="14"/>
          <w:rFonts w:hint="eastAsia" w:ascii="仿宋_GB2312" w:hAnsi="仿宋_GB2312" w:eastAsia="仿宋_GB2312" w:cs="仿宋_GB2312"/>
          <w:color w:val="auto"/>
          <w:spacing w:val="-20"/>
          <w:w w:val="90"/>
          <w:sz w:val="32"/>
          <w:szCs w:val="32"/>
          <w:u w:val="none"/>
        </w:rPr>
        <w:t>http://xfyh.open.ha.cn/gzkzzhxz.aspx</w:t>
      </w:r>
      <w:r>
        <w:rPr>
          <w:rFonts w:hint="eastAsia" w:ascii="仿宋_GB2312" w:hAnsi="仿宋_GB2312" w:eastAsia="仿宋_GB2312" w:cs="仿宋_GB2312"/>
          <w:spacing w:val="-20"/>
          <w:w w:val="90"/>
          <w:sz w:val="32"/>
          <w:szCs w:val="32"/>
        </w:rPr>
        <w:fldChar w:fldCharType="end"/>
      </w:r>
      <w:r>
        <w:rPr>
          <w:rFonts w:hint="eastAsia" w:ascii="仿宋_GB2312" w:hAnsi="仿宋_GB2312" w:eastAsia="仿宋_GB2312" w:cs="仿宋_GB2312"/>
          <w:spacing w:val="-20"/>
          <w:w w:val="90"/>
          <w:sz w:val="32"/>
          <w:szCs w:val="32"/>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（六）转换课程的成绩记为“合格”（60分）。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（七）本总则由学分银行管理中心负责解释。</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（八）本总则自公布之日起施行。</w:t>
      </w:r>
    </w:p>
    <w:p>
      <w:pPr>
        <w:rPr>
          <w:rFonts w:ascii="黑体" w:hAnsi="黑体" w:eastAsia="黑体"/>
        </w:rPr>
      </w:pPr>
    </w:p>
    <w:p>
      <w:pPr>
        <w:rPr>
          <w:rFonts w:ascii="黑体" w:hAnsi="黑体" w:eastAsia="黑体"/>
        </w:rPr>
      </w:pPr>
    </w:p>
    <w:p>
      <w:pPr>
        <w:rPr>
          <w:rFonts w:ascii="黑体" w:hAnsi="黑体" w:eastAsia="黑体"/>
        </w:rPr>
      </w:pPr>
    </w:p>
    <w:p>
      <w:pPr>
        <w:rPr>
          <w:rFonts w:ascii="黑体" w:hAnsi="黑体" w:eastAsia="黑体"/>
        </w:rPr>
      </w:pPr>
    </w:p>
    <w:p>
      <w:pPr>
        <w:rPr>
          <w:rFonts w:ascii="黑体" w:hAnsi="黑体" w:eastAsia="黑体"/>
        </w:rPr>
      </w:pPr>
    </w:p>
    <w:p>
      <w:pPr>
        <w:rPr>
          <w:rFonts w:ascii="黑体" w:hAnsi="黑体" w:eastAsia="黑体"/>
        </w:rPr>
      </w:pPr>
    </w:p>
    <w:p>
      <w:pPr>
        <w:keepNext w:val="0"/>
        <w:keepLines w:val="0"/>
        <w:pageBreakBefore w:val="0"/>
        <w:widowControl w:val="0"/>
        <w:kinsoku/>
        <w:wordWrap/>
        <w:overflowPunct/>
        <w:topLinePunct w:val="0"/>
        <w:autoSpaceDE w:val="0"/>
        <w:autoSpaceDN w:val="0"/>
        <w:bidi w:val="0"/>
        <w:adjustRightInd w:val="0"/>
        <w:snapToGrid w:val="0"/>
        <w:spacing w:line="700" w:lineRule="exact"/>
        <w:ind w:right="824" w:rightChars="400"/>
        <w:jc w:val="both"/>
        <w:textAlignment w:val="auto"/>
        <w:rPr>
          <w:rFonts w:hint="eastAsia" w:ascii="方正小标宋简体" w:hAnsi="方正小标宋简体" w:eastAsia="方正小标宋简体" w:cs="方正小标宋简体"/>
          <w:b w:val="0"/>
          <w:bCs w:val="0"/>
          <w:snapToGrid w:val="0"/>
          <w:spacing w:val="20"/>
          <w:kern w:val="0"/>
          <w:sz w:val="28"/>
          <w:szCs w:val="28"/>
          <w:lang w:val="en-US" w:eastAsia="zh-CN"/>
        </w:rPr>
      </w:pPr>
      <w:r>
        <w:rPr>
          <w:rFonts w:hint="eastAsia" w:ascii="黑体" w:hAnsi="黑体" w:eastAsia="黑体" w:cs="黑体"/>
          <w:snapToGrid w:val="0"/>
          <w:spacing w:val="20"/>
          <w:kern w:val="0"/>
          <w:sz w:val="32"/>
          <w:szCs w:val="32"/>
          <w:lang w:val="en-US" w:eastAsia="zh-CN"/>
        </w:rPr>
        <w:t>附件3</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郑州信息科技职业学院</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高职扩招学生以工作代实习学分转换申请表</w:t>
      </w:r>
    </w:p>
    <w:tbl>
      <w:tblPr>
        <w:tblStyle w:val="10"/>
        <w:tblpPr w:leftFromText="180" w:rightFromText="180" w:vertAnchor="text" w:tblpXSpec="center" w:tblpY="1"/>
        <w:tblOverlap w:val="never"/>
        <w:tblW w:w="1027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93"/>
        <w:gridCol w:w="2164"/>
        <w:gridCol w:w="1379"/>
        <w:gridCol w:w="1818"/>
        <w:gridCol w:w="1348"/>
        <w:gridCol w:w="17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0" w:hRule="atLeast"/>
          <w:jc w:val="center"/>
        </w:trPr>
        <w:tc>
          <w:tcPr>
            <w:tcW w:w="1793" w:type="dxa"/>
            <w:noWrap w:val="0"/>
            <w:vAlign w:val="center"/>
          </w:tcPr>
          <w:p>
            <w:pPr>
              <w:pStyle w:val="18"/>
              <w:keepNext w:val="0"/>
              <w:keepLines w:val="0"/>
              <w:pageBreakBefore w:val="0"/>
              <w:widowControl w:val="0"/>
              <w:kinsoku/>
              <w:wordWrap/>
              <w:overflowPunct/>
              <w:topLinePunct w:val="0"/>
              <w:autoSpaceDE/>
              <w:autoSpaceDN/>
              <w:bidi w:val="0"/>
              <w:adjustRightInd/>
              <w:snapToGrid/>
              <w:spacing w:before="165" w:line="54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姓 名</w:t>
            </w:r>
          </w:p>
        </w:tc>
        <w:tc>
          <w:tcPr>
            <w:tcW w:w="2164" w:type="dxa"/>
            <w:noWrap w:val="0"/>
            <w:vAlign w:val="center"/>
          </w:tcPr>
          <w:p>
            <w:pPr>
              <w:pStyle w:val="18"/>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sz w:val="22"/>
                <w:szCs w:val="22"/>
              </w:rPr>
            </w:pPr>
          </w:p>
        </w:tc>
        <w:tc>
          <w:tcPr>
            <w:tcW w:w="1379" w:type="dxa"/>
            <w:noWrap w:val="0"/>
            <w:vAlign w:val="center"/>
          </w:tcPr>
          <w:p>
            <w:pPr>
              <w:pStyle w:val="18"/>
              <w:keepNext w:val="0"/>
              <w:keepLines w:val="0"/>
              <w:pageBreakBefore w:val="0"/>
              <w:widowControl w:val="0"/>
              <w:kinsoku/>
              <w:wordWrap/>
              <w:overflowPunct/>
              <w:topLinePunct w:val="0"/>
              <w:autoSpaceDE/>
              <w:autoSpaceDN/>
              <w:bidi w:val="0"/>
              <w:adjustRightInd/>
              <w:snapToGrid/>
              <w:spacing w:before="165" w:line="54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学 号</w:t>
            </w:r>
          </w:p>
        </w:tc>
        <w:tc>
          <w:tcPr>
            <w:tcW w:w="1818" w:type="dxa"/>
            <w:noWrap w:val="0"/>
            <w:vAlign w:val="center"/>
          </w:tcPr>
          <w:p>
            <w:pPr>
              <w:pStyle w:val="18"/>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sz w:val="22"/>
                <w:szCs w:val="22"/>
              </w:rPr>
            </w:pPr>
          </w:p>
        </w:tc>
        <w:tc>
          <w:tcPr>
            <w:tcW w:w="1348" w:type="dxa"/>
            <w:noWrap w:val="0"/>
            <w:vAlign w:val="center"/>
          </w:tcPr>
          <w:p>
            <w:pPr>
              <w:pStyle w:val="18"/>
              <w:keepNext w:val="0"/>
              <w:keepLines w:val="0"/>
              <w:pageBreakBefore w:val="0"/>
              <w:widowControl w:val="0"/>
              <w:kinsoku/>
              <w:wordWrap/>
              <w:overflowPunct/>
              <w:topLinePunct w:val="0"/>
              <w:autoSpaceDE/>
              <w:autoSpaceDN/>
              <w:bidi w:val="0"/>
              <w:adjustRightInd/>
              <w:snapToGrid/>
              <w:spacing w:before="165" w:line="54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联系方式</w:t>
            </w:r>
          </w:p>
        </w:tc>
        <w:tc>
          <w:tcPr>
            <w:tcW w:w="1768" w:type="dxa"/>
            <w:noWrap w:val="0"/>
            <w:vAlign w:val="center"/>
          </w:tcPr>
          <w:p>
            <w:pPr>
              <w:pStyle w:val="18"/>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0" w:hRule="atLeast"/>
          <w:jc w:val="center"/>
        </w:trPr>
        <w:tc>
          <w:tcPr>
            <w:tcW w:w="1793" w:type="dxa"/>
            <w:noWrap w:val="0"/>
            <w:vAlign w:val="center"/>
          </w:tcPr>
          <w:p>
            <w:pPr>
              <w:pStyle w:val="18"/>
              <w:keepNext w:val="0"/>
              <w:keepLines w:val="0"/>
              <w:pageBreakBefore w:val="0"/>
              <w:widowControl w:val="0"/>
              <w:tabs>
                <w:tab w:val="left" w:pos="1079"/>
              </w:tabs>
              <w:kinsoku/>
              <w:wordWrap/>
              <w:overflowPunct/>
              <w:topLinePunct w:val="0"/>
              <w:autoSpaceDE/>
              <w:autoSpaceDN/>
              <w:bidi w:val="0"/>
              <w:adjustRightInd/>
              <w:snapToGrid/>
              <w:spacing w:before="166" w:line="540" w:lineRule="exact"/>
              <w:jc w:val="center"/>
              <w:textAlignment w:val="auto"/>
              <w:rPr>
                <w:rFonts w:hint="eastAsia" w:ascii="宋体" w:hAnsi="宋体" w:eastAsia="宋体" w:cs="宋体"/>
                <w:sz w:val="22"/>
                <w:szCs w:val="22"/>
                <w:lang w:val="en-US"/>
              </w:rPr>
            </w:pPr>
            <w:r>
              <w:rPr>
                <w:rFonts w:hint="eastAsia" w:ascii="宋体" w:hAnsi="宋体" w:eastAsia="宋体" w:cs="宋体"/>
                <w:sz w:val="22"/>
                <w:szCs w:val="22"/>
                <w:lang w:val="en-US"/>
              </w:rPr>
              <w:t>身份证号</w:t>
            </w:r>
          </w:p>
        </w:tc>
        <w:tc>
          <w:tcPr>
            <w:tcW w:w="5361" w:type="dxa"/>
            <w:gridSpan w:val="3"/>
            <w:noWrap w:val="0"/>
            <w:vAlign w:val="center"/>
          </w:tcPr>
          <w:p>
            <w:pPr>
              <w:pStyle w:val="18"/>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sz w:val="22"/>
                <w:szCs w:val="22"/>
              </w:rPr>
            </w:pPr>
          </w:p>
        </w:tc>
        <w:tc>
          <w:tcPr>
            <w:tcW w:w="1348" w:type="dxa"/>
            <w:noWrap w:val="0"/>
            <w:vAlign w:val="center"/>
          </w:tcPr>
          <w:p>
            <w:pPr>
              <w:pStyle w:val="18"/>
              <w:keepNext w:val="0"/>
              <w:keepLines w:val="0"/>
              <w:pageBreakBefore w:val="0"/>
              <w:widowControl w:val="0"/>
              <w:tabs>
                <w:tab w:val="left" w:pos="1228"/>
              </w:tabs>
              <w:kinsoku/>
              <w:wordWrap/>
              <w:overflowPunct/>
              <w:topLinePunct w:val="0"/>
              <w:autoSpaceDE/>
              <w:autoSpaceDN/>
              <w:bidi w:val="0"/>
              <w:adjustRightInd/>
              <w:snapToGrid/>
              <w:spacing w:before="166" w:line="540" w:lineRule="exact"/>
              <w:jc w:val="center"/>
              <w:textAlignment w:val="auto"/>
              <w:rPr>
                <w:rFonts w:hint="eastAsia" w:ascii="宋体" w:hAnsi="宋体" w:eastAsia="宋体" w:cs="宋体"/>
                <w:sz w:val="22"/>
                <w:szCs w:val="22"/>
                <w:lang w:val="en-US"/>
              </w:rPr>
            </w:pPr>
            <w:r>
              <w:rPr>
                <w:rFonts w:hint="eastAsia" w:ascii="宋体" w:hAnsi="宋体" w:eastAsia="宋体" w:cs="宋体"/>
                <w:sz w:val="22"/>
                <w:szCs w:val="22"/>
                <w:lang w:val="en-US"/>
              </w:rPr>
              <w:t>出生年月</w:t>
            </w:r>
          </w:p>
        </w:tc>
        <w:tc>
          <w:tcPr>
            <w:tcW w:w="1768" w:type="dxa"/>
            <w:noWrap w:val="0"/>
            <w:vAlign w:val="center"/>
          </w:tcPr>
          <w:p>
            <w:pPr>
              <w:pStyle w:val="18"/>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0" w:hRule="atLeast"/>
          <w:jc w:val="center"/>
        </w:trPr>
        <w:tc>
          <w:tcPr>
            <w:tcW w:w="1793" w:type="dxa"/>
            <w:noWrap w:val="0"/>
            <w:vAlign w:val="center"/>
          </w:tcPr>
          <w:p>
            <w:pPr>
              <w:pStyle w:val="18"/>
              <w:keepNext w:val="0"/>
              <w:keepLines w:val="0"/>
              <w:pageBreakBefore w:val="0"/>
              <w:widowControl w:val="0"/>
              <w:tabs>
                <w:tab w:val="left" w:pos="1228"/>
              </w:tabs>
              <w:kinsoku/>
              <w:wordWrap/>
              <w:overflowPunct/>
              <w:topLinePunct w:val="0"/>
              <w:autoSpaceDE/>
              <w:autoSpaceDN/>
              <w:bidi w:val="0"/>
              <w:adjustRightInd/>
              <w:snapToGrid/>
              <w:spacing w:before="166" w:line="540" w:lineRule="exact"/>
              <w:jc w:val="center"/>
              <w:textAlignment w:val="auto"/>
              <w:rPr>
                <w:rFonts w:hint="eastAsia" w:ascii="宋体" w:hAnsi="宋体" w:eastAsia="宋体" w:cs="宋体"/>
                <w:sz w:val="22"/>
                <w:szCs w:val="22"/>
              </w:rPr>
            </w:pPr>
            <w:r>
              <w:rPr>
                <w:rFonts w:hint="eastAsia" w:ascii="宋体" w:hAnsi="宋体" w:eastAsia="宋体" w:cs="宋体"/>
                <w:sz w:val="22"/>
                <w:szCs w:val="22"/>
                <w:lang w:val="en-US"/>
              </w:rPr>
              <w:t xml:space="preserve">专    </w:t>
            </w:r>
            <w:r>
              <w:rPr>
                <w:rFonts w:hint="eastAsia" w:ascii="宋体" w:hAnsi="宋体" w:eastAsia="宋体" w:cs="宋体"/>
                <w:sz w:val="22"/>
                <w:szCs w:val="22"/>
              </w:rPr>
              <w:t>业</w:t>
            </w:r>
          </w:p>
        </w:tc>
        <w:tc>
          <w:tcPr>
            <w:tcW w:w="5361" w:type="dxa"/>
            <w:gridSpan w:val="3"/>
            <w:noWrap w:val="0"/>
            <w:vAlign w:val="center"/>
          </w:tcPr>
          <w:p>
            <w:pPr>
              <w:pStyle w:val="18"/>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sz w:val="22"/>
                <w:szCs w:val="22"/>
              </w:rPr>
            </w:pPr>
          </w:p>
        </w:tc>
        <w:tc>
          <w:tcPr>
            <w:tcW w:w="1348" w:type="dxa"/>
            <w:noWrap w:val="0"/>
            <w:vAlign w:val="center"/>
          </w:tcPr>
          <w:p>
            <w:pPr>
              <w:pStyle w:val="18"/>
              <w:keepNext w:val="0"/>
              <w:keepLines w:val="0"/>
              <w:pageBreakBefore w:val="0"/>
              <w:widowControl w:val="0"/>
              <w:tabs>
                <w:tab w:val="left" w:pos="1079"/>
              </w:tabs>
              <w:kinsoku/>
              <w:wordWrap/>
              <w:overflowPunct/>
              <w:topLinePunct w:val="0"/>
              <w:autoSpaceDE/>
              <w:autoSpaceDN/>
              <w:bidi w:val="0"/>
              <w:adjustRightInd/>
              <w:snapToGrid/>
              <w:spacing w:before="166" w:line="540" w:lineRule="exact"/>
              <w:jc w:val="center"/>
              <w:textAlignment w:val="auto"/>
              <w:rPr>
                <w:rFonts w:hint="eastAsia" w:ascii="宋体" w:hAnsi="宋体" w:eastAsia="宋体" w:cs="宋体"/>
                <w:sz w:val="22"/>
                <w:szCs w:val="22"/>
                <w:lang w:val="en-US"/>
              </w:rPr>
            </w:pPr>
            <w:r>
              <w:rPr>
                <w:rFonts w:hint="eastAsia" w:ascii="宋体" w:hAnsi="宋体" w:eastAsia="宋体" w:cs="宋体"/>
                <w:sz w:val="22"/>
                <w:szCs w:val="22"/>
                <w:lang w:val="en-US"/>
              </w:rPr>
              <w:t>所在校区</w:t>
            </w:r>
          </w:p>
        </w:tc>
        <w:tc>
          <w:tcPr>
            <w:tcW w:w="1768" w:type="dxa"/>
            <w:noWrap w:val="0"/>
            <w:vAlign w:val="center"/>
          </w:tcPr>
          <w:p>
            <w:pPr>
              <w:pStyle w:val="18"/>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0" w:hRule="atLeast"/>
          <w:jc w:val="center"/>
        </w:trPr>
        <w:tc>
          <w:tcPr>
            <w:tcW w:w="1793" w:type="dxa"/>
            <w:noWrap w:val="0"/>
            <w:vAlign w:val="center"/>
          </w:tcPr>
          <w:p>
            <w:pPr>
              <w:pStyle w:val="18"/>
              <w:keepNext w:val="0"/>
              <w:keepLines w:val="0"/>
              <w:pageBreakBefore w:val="0"/>
              <w:widowControl w:val="0"/>
              <w:kinsoku/>
              <w:wordWrap/>
              <w:overflowPunct/>
              <w:topLinePunct w:val="0"/>
              <w:autoSpaceDE/>
              <w:autoSpaceDN/>
              <w:bidi w:val="0"/>
              <w:adjustRightInd/>
              <w:snapToGrid/>
              <w:spacing w:before="164" w:line="54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工作单位名称</w:t>
            </w:r>
          </w:p>
        </w:tc>
        <w:tc>
          <w:tcPr>
            <w:tcW w:w="8477" w:type="dxa"/>
            <w:gridSpan w:val="5"/>
            <w:noWrap w:val="0"/>
            <w:vAlign w:val="center"/>
          </w:tcPr>
          <w:p>
            <w:pPr>
              <w:pStyle w:val="18"/>
              <w:keepNext w:val="0"/>
              <w:keepLines w:val="0"/>
              <w:pageBreakBefore w:val="0"/>
              <w:widowControl w:val="0"/>
              <w:kinsoku/>
              <w:wordWrap/>
              <w:overflowPunct/>
              <w:topLinePunct w:val="0"/>
              <w:autoSpaceDE/>
              <w:autoSpaceDN/>
              <w:bidi w:val="0"/>
              <w:adjustRightInd/>
              <w:snapToGrid/>
              <w:spacing w:before="164" w:line="540" w:lineRule="exact"/>
              <w:ind w:right="380"/>
              <w:jc w:val="center"/>
              <w:textAlignment w:val="auto"/>
              <w:rPr>
                <w:rFonts w:hint="eastAsia" w:ascii="宋体" w:hAnsi="宋体" w:eastAsia="宋体" w:cs="宋体"/>
                <w:sz w:val="22"/>
                <w:szCs w:val="22"/>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0" w:hRule="atLeast"/>
          <w:jc w:val="center"/>
        </w:trPr>
        <w:tc>
          <w:tcPr>
            <w:tcW w:w="1793" w:type="dxa"/>
            <w:noWrap w:val="0"/>
            <w:vAlign w:val="center"/>
          </w:tcPr>
          <w:p>
            <w:pPr>
              <w:pStyle w:val="18"/>
              <w:keepNext w:val="0"/>
              <w:keepLines w:val="0"/>
              <w:pageBreakBefore w:val="0"/>
              <w:widowControl w:val="0"/>
              <w:kinsoku/>
              <w:wordWrap/>
              <w:overflowPunct/>
              <w:topLinePunct w:val="0"/>
              <w:autoSpaceDE/>
              <w:autoSpaceDN/>
              <w:bidi w:val="0"/>
              <w:adjustRightInd/>
              <w:snapToGrid/>
              <w:spacing w:before="164" w:line="54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工作起止时间</w:t>
            </w:r>
          </w:p>
        </w:tc>
        <w:tc>
          <w:tcPr>
            <w:tcW w:w="8477" w:type="dxa"/>
            <w:gridSpan w:val="5"/>
            <w:noWrap w:val="0"/>
            <w:vAlign w:val="center"/>
          </w:tcPr>
          <w:p>
            <w:pPr>
              <w:pStyle w:val="18"/>
              <w:keepNext w:val="0"/>
              <w:keepLines w:val="0"/>
              <w:pageBreakBefore w:val="0"/>
              <w:widowControl w:val="0"/>
              <w:kinsoku/>
              <w:wordWrap/>
              <w:overflowPunct/>
              <w:topLinePunct w:val="0"/>
              <w:autoSpaceDE/>
              <w:autoSpaceDN/>
              <w:bidi w:val="0"/>
              <w:adjustRightInd/>
              <w:snapToGrid/>
              <w:spacing w:before="164" w:line="540" w:lineRule="exact"/>
              <w:ind w:right="380"/>
              <w:jc w:val="center"/>
              <w:textAlignment w:val="auto"/>
              <w:rPr>
                <w:rFonts w:hint="eastAsia" w:ascii="宋体" w:hAnsi="宋体" w:eastAsia="宋体" w:cs="宋体"/>
                <w:sz w:val="22"/>
                <w:szCs w:val="22"/>
                <w:u w:val="none"/>
                <w:lang w:val="en-US" w:eastAsia="zh-CN"/>
              </w:rPr>
            </w:pPr>
            <w:r>
              <w:rPr>
                <w:rFonts w:hint="eastAsia" w:ascii="宋体" w:hAnsi="宋体" w:eastAsia="宋体" w:cs="宋体"/>
                <w:sz w:val="22"/>
                <w:szCs w:val="22"/>
                <w:u w:val="single"/>
                <w:lang w:val="en-US" w:eastAsia="zh-CN"/>
              </w:rPr>
              <w:t xml:space="preserve">        </w:t>
            </w:r>
            <w:r>
              <w:rPr>
                <w:rFonts w:hint="eastAsia" w:ascii="宋体" w:hAnsi="宋体" w:eastAsia="宋体" w:cs="宋体"/>
                <w:sz w:val="22"/>
                <w:szCs w:val="22"/>
                <w:u w:val="none"/>
                <w:lang w:val="en-US" w:eastAsia="zh-CN"/>
              </w:rPr>
              <w:t>年</w:t>
            </w:r>
            <w:r>
              <w:rPr>
                <w:rFonts w:hint="eastAsia" w:ascii="宋体" w:hAnsi="宋体" w:eastAsia="宋体" w:cs="宋体"/>
                <w:sz w:val="22"/>
                <w:szCs w:val="22"/>
                <w:u w:val="single"/>
                <w:lang w:val="en-US" w:eastAsia="zh-CN"/>
              </w:rPr>
              <w:t xml:space="preserve">    </w:t>
            </w:r>
            <w:r>
              <w:rPr>
                <w:rFonts w:hint="eastAsia" w:ascii="宋体" w:hAnsi="宋体" w:eastAsia="宋体" w:cs="宋体"/>
                <w:sz w:val="22"/>
                <w:szCs w:val="22"/>
                <w:u w:val="none"/>
                <w:lang w:val="en-US" w:eastAsia="zh-CN"/>
              </w:rPr>
              <w:t>月</w:t>
            </w:r>
            <w:r>
              <w:rPr>
                <w:rFonts w:hint="eastAsia" w:ascii="宋体" w:hAnsi="宋体" w:eastAsia="宋体" w:cs="宋体"/>
                <w:sz w:val="22"/>
                <w:szCs w:val="22"/>
                <w:u w:val="single"/>
                <w:lang w:val="en-US" w:eastAsia="zh-CN"/>
              </w:rPr>
              <w:t xml:space="preserve">     </w:t>
            </w:r>
            <w:r>
              <w:rPr>
                <w:rFonts w:hint="eastAsia" w:ascii="宋体" w:hAnsi="宋体" w:eastAsia="宋体" w:cs="宋体"/>
                <w:sz w:val="22"/>
                <w:szCs w:val="22"/>
                <w:u w:val="none"/>
                <w:lang w:val="en-US" w:eastAsia="zh-CN"/>
              </w:rPr>
              <w:t>日——</w:t>
            </w:r>
            <w:r>
              <w:rPr>
                <w:rFonts w:hint="eastAsia" w:ascii="宋体" w:hAnsi="宋体" w:eastAsia="宋体" w:cs="宋体"/>
                <w:sz w:val="22"/>
                <w:szCs w:val="22"/>
                <w:u w:val="single"/>
                <w:lang w:val="en-US" w:eastAsia="zh-CN"/>
              </w:rPr>
              <w:t xml:space="preserve">        </w:t>
            </w:r>
            <w:r>
              <w:rPr>
                <w:rFonts w:hint="eastAsia" w:ascii="宋体" w:hAnsi="宋体" w:eastAsia="宋体" w:cs="宋体"/>
                <w:sz w:val="22"/>
                <w:szCs w:val="22"/>
                <w:u w:val="none"/>
                <w:lang w:val="en-US" w:eastAsia="zh-CN"/>
              </w:rPr>
              <w:t>年</w:t>
            </w:r>
            <w:r>
              <w:rPr>
                <w:rFonts w:hint="eastAsia" w:ascii="宋体" w:hAnsi="宋体" w:eastAsia="宋体" w:cs="宋体"/>
                <w:sz w:val="22"/>
                <w:szCs w:val="22"/>
                <w:u w:val="single"/>
                <w:lang w:val="en-US" w:eastAsia="zh-CN"/>
              </w:rPr>
              <w:t xml:space="preserve">    </w:t>
            </w:r>
            <w:r>
              <w:rPr>
                <w:rFonts w:hint="eastAsia" w:ascii="宋体" w:hAnsi="宋体" w:eastAsia="宋体" w:cs="宋体"/>
                <w:sz w:val="22"/>
                <w:szCs w:val="22"/>
                <w:u w:val="none"/>
                <w:lang w:val="en-US" w:eastAsia="zh-CN"/>
              </w:rPr>
              <w:t>月</w:t>
            </w:r>
            <w:r>
              <w:rPr>
                <w:rFonts w:hint="eastAsia" w:ascii="宋体" w:hAnsi="宋体" w:eastAsia="宋体" w:cs="宋体"/>
                <w:sz w:val="22"/>
                <w:szCs w:val="22"/>
                <w:u w:val="single"/>
                <w:lang w:val="en-US" w:eastAsia="zh-CN"/>
              </w:rPr>
              <w:t xml:space="preserve">     </w:t>
            </w:r>
            <w:r>
              <w:rPr>
                <w:rFonts w:hint="eastAsia" w:ascii="宋体" w:hAnsi="宋体" w:eastAsia="宋体" w:cs="宋体"/>
                <w:sz w:val="22"/>
                <w:szCs w:val="22"/>
                <w:u w:val="none"/>
                <w:lang w:val="en-US" w:eastAsia="zh-CN"/>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63" w:hRule="atLeast"/>
          <w:jc w:val="center"/>
        </w:trPr>
        <w:tc>
          <w:tcPr>
            <w:tcW w:w="1793" w:type="dxa"/>
            <w:noWrap w:val="0"/>
            <w:vAlign w:val="center"/>
          </w:tcPr>
          <w:p>
            <w:pPr>
              <w:pStyle w:val="18"/>
              <w:keepNext w:val="0"/>
              <w:keepLines w:val="0"/>
              <w:pageBreakBefore w:val="0"/>
              <w:widowControl w:val="0"/>
              <w:kinsoku/>
              <w:wordWrap/>
              <w:overflowPunct/>
              <w:topLinePunct w:val="0"/>
              <w:autoSpaceDE/>
              <w:autoSpaceDN/>
              <w:bidi w:val="0"/>
              <w:adjustRightInd/>
              <w:snapToGrid/>
              <w:spacing w:line="192" w:lineRule="auto"/>
              <w:jc w:val="center"/>
              <w:textAlignment w:val="auto"/>
              <w:rPr>
                <w:rFonts w:hint="default" w:ascii="宋体" w:hAnsi="宋体" w:eastAsia="宋体" w:cs="宋体"/>
                <w:sz w:val="22"/>
                <w:szCs w:val="22"/>
                <w:lang w:val="en-US" w:eastAsia="zh-CN"/>
              </w:rPr>
            </w:pPr>
            <w:r>
              <w:rPr>
                <w:rFonts w:hint="eastAsia" w:cs="宋体"/>
                <w:sz w:val="22"/>
                <w:szCs w:val="22"/>
                <w:lang w:val="en-US" w:eastAsia="zh-CN"/>
              </w:rPr>
              <w:t>工作单位社会信用代码</w:t>
            </w:r>
          </w:p>
        </w:tc>
        <w:tc>
          <w:tcPr>
            <w:tcW w:w="5361" w:type="dxa"/>
            <w:gridSpan w:val="3"/>
            <w:tcBorders>
              <w:right w:val="single" w:color="auto" w:sz="4" w:space="0"/>
            </w:tcBorders>
            <w:noWrap w:val="0"/>
            <w:vAlign w:val="center"/>
          </w:tcPr>
          <w:p>
            <w:pPr>
              <w:pStyle w:val="18"/>
              <w:keepNext w:val="0"/>
              <w:keepLines w:val="0"/>
              <w:pageBreakBefore w:val="0"/>
              <w:widowControl w:val="0"/>
              <w:kinsoku/>
              <w:wordWrap/>
              <w:overflowPunct/>
              <w:topLinePunct w:val="0"/>
              <w:autoSpaceDE/>
              <w:autoSpaceDN/>
              <w:bidi w:val="0"/>
              <w:adjustRightInd/>
              <w:snapToGrid/>
              <w:spacing w:before="164" w:line="540" w:lineRule="exact"/>
              <w:ind w:right="380"/>
              <w:jc w:val="center"/>
              <w:textAlignment w:val="auto"/>
              <w:rPr>
                <w:rFonts w:hint="eastAsia" w:ascii="宋体" w:hAnsi="宋体" w:eastAsia="宋体" w:cs="宋体"/>
                <w:sz w:val="22"/>
                <w:szCs w:val="22"/>
                <w:lang w:val="en-US"/>
              </w:rPr>
            </w:pPr>
          </w:p>
        </w:tc>
        <w:tc>
          <w:tcPr>
            <w:tcW w:w="1348" w:type="dxa"/>
            <w:tcBorders>
              <w:left w:val="single" w:color="auto" w:sz="4" w:space="0"/>
              <w:right w:val="single" w:color="auto" w:sz="4" w:space="0"/>
            </w:tcBorders>
            <w:noWrap w:val="0"/>
            <w:vAlign w:val="center"/>
          </w:tcPr>
          <w:p>
            <w:pPr>
              <w:pStyle w:val="18"/>
              <w:keepNext w:val="0"/>
              <w:keepLines w:val="0"/>
              <w:pageBreakBefore w:val="0"/>
              <w:widowControl w:val="0"/>
              <w:kinsoku/>
              <w:wordWrap/>
              <w:overflowPunct/>
              <w:topLinePunct w:val="0"/>
              <w:autoSpaceDE/>
              <w:autoSpaceDN/>
              <w:bidi w:val="0"/>
              <w:adjustRightInd/>
              <w:snapToGrid/>
              <w:spacing w:before="164" w:line="540" w:lineRule="exact"/>
              <w:ind w:right="38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法 人</w:t>
            </w:r>
          </w:p>
        </w:tc>
        <w:tc>
          <w:tcPr>
            <w:tcW w:w="1768" w:type="dxa"/>
            <w:tcBorders>
              <w:left w:val="single" w:color="auto" w:sz="4" w:space="0"/>
            </w:tcBorders>
            <w:noWrap w:val="0"/>
            <w:vAlign w:val="center"/>
          </w:tcPr>
          <w:p>
            <w:pPr>
              <w:pStyle w:val="18"/>
              <w:keepNext w:val="0"/>
              <w:keepLines w:val="0"/>
              <w:pageBreakBefore w:val="0"/>
              <w:widowControl w:val="0"/>
              <w:kinsoku/>
              <w:wordWrap/>
              <w:overflowPunct/>
              <w:topLinePunct w:val="0"/>
              <w:autoSpaceDE/>
              <w:autoSpaceDN/>
              <w:bidi w:val="0"/>
              <w:adjustRightInd/>
              <w:snapToGrid/>
              <w:spacing w:before="164" w:line="540" w:lineRule="exact"/>
              <w:ind w:right="380"/>
              <w:jc w:val="center"/>
              <w:textAlignment w:val="auto"/>
              <w:rPr>
                <w:rFonts w:hint="eastAsia" w:ascii="宋体" w:hAnsi="宋体" w:eastAsia="宋体" w:cs="宋体"/>
                <w:sz w:val="22"/>
                <w:szCs w:val="22"/>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0" w:hRule="atLeast"/>
          <w:jc w:val="center"/>
        </w:trPr>
        <w:tc>
          <w:tcPr>
            <w:tcW w:w="1793" w:type="dxa"/>
            <w:noWrap w:val="0"/>
            <w:vAlign w:val="center"/>
          </w:tcPr>
          <w:p>
            <w:pPr>
              <w:pStyle w:val="18"/>
              <w:keepNext w:val="0"/>
              <w:keepLines w:val="0"/>
              <w:pageBreakBefore w:val="0"/>
              <w:widowControl w:val="0"/>
              <w:kinsoku/>
              <w:wordWrap/>
              <w:overflowPunct/>
              <w:topLinePunct w:val="0"/>
              <w:autoSpaceDE/>
              <w:autoSpaceDN/>
              <w:bidi w:val="0"/>
              <w:adjustRightInd/>
              <w:snapToGrid/>
              <w:spacing w:before="164" w:line="54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申请转换课程</w:t>
            </w:r>
          </w:p>
        </w:tc>
        <w:tc>
          <w:tcPr>
            <w:tcW w:w="8477" w:type="dxa"/>
            <w:gridSpan w:val="5"/>
            <w:noWrap w:val="0"/>
            <w:vAlign w:val="center"/>
          </w:tcPr>
          <w:p>
            <w:pPr>
              <w:pStyle w:val="18"/>
              <w:keepNext w:val="0"/>
              <w:keepLines w:val="0"/>
              <w:pageBreakBefore w:val="0"/>
              <w:widowControl w:val="0"/>
              <w:kinsoku/>
              <w:wordWrap/>
              <w:overflowPunct/>
              <w:topLinePunct w:val="0"/>
              <w:autoSpaceDE/>
              <w:autoSpaceDN/>
              <w:bidi w:val="0"/>
              <w:adjustRightInd/>
              <w:snapToGrid/>
              <w:spacing w:before="164" w:line="540" w:lineRule="exact"/>
              <w:ind w:right="38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 </w:t>
            </w:r>
            <w:r>
              <w:rPr>
                <w:rFonts w:hint="eastAsia" w:ascii="宋体" w:hAnsi="宋体" w:eastAsia="宋体" w:cs="宋体"/>
                <w:sz w:val="22"/>
                <w:szCs w:val="22"/>
                <w:lang w:val="en-US"/>
              </w:rPr>
              <w:t>①</w:t>
            </w:r>
            <w:r>
              <w:rPr>
                <w:rFonts w:hint="eastAsia" w:ascii="宋体" w:hAnsi="宋体" w:eastAsia="宋体" w:cs="宋体"/>
                <w:sz w:val="22"/>
                <w:szCs w:val="22"/>
                <w:lang w:val="en-US" w:eastAsia="zh-CN"/>
              </w:rPr>
              <w:t xml:space="preserve">认识实习  ②跟岗实习  ③顶岗实习 </w:t>
            </w:r>
            <w:r>
              <w:rPr>
                <w:rFonts w:hint="eastAsia" w:ascii="宋体" w:hAnsi="宋体" w:eastAsia="宋体" w:cs="宋体"/>
                <w:sz w:val="21"/>
                <w:szCs w:val="21"/>
                <w:lang w:val="en-US" w:eastAsia="zh-CN"/>
              </w:rPr>
              <w:t>（请在转换课程序号上打“√”）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0" w:hRule="atLeast"/>
          <w:jc w:val="center"/>
        </w:trPr>
        <w:tc>
          <w:tcPr>
            <w:tcW w:w="179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工</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作</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内</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容</w:t>
            </w:r>
          </w:p>
        </w:tc>
        <w:tc>
          <w:tcPr>
            <w:tcW w:w="8477" w:type="dxa"/>
            <w:gridSpan w:val="5"/>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岗位：</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宋体" w:cs="宋体"/>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工作内容：</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宋体" w:cs="宋体"/>
                <w:sz w:val="22"/>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0" w:hRule="atLeast"/>
          <w:jc w:val="center"/>
        </w:trPr>
        <w:tc>
          <w:tcPr>
            <w:tcW w:w="1793"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单</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位</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意</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见</w:t>
            </w:r>
          </w:p>
        </w:tc>
        <w:tc>
          <w:tcPr>
            <w:tcW w:w="8477" w:type="dxa"/>
            <w:gridSpan w:val="5"/>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宋体" w:hAnsi="宋体" w:eastAsia="宋体" w:cs="宋体"/>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该同志工作岗位和工作内容是否属实。</w:t>
            </w:r>
          </w:p>
          <w:p>
            <w:pPr>
              <w:keepNext w:val="0"/>
              <w:keepLines w:val="0"/>
              <w:pageBreakBefore w:val="0"/>
              <w:widowControl w:val="0"/>
              <w:kinsoku/>
              <w:wordWrap/>
              <w:overflowPunct/>
              <w:topLinePunct w:val="0"/>
              <w:autoSpaceDE/>
              <w:autoSpaceDN/>
              <w:bidi w:val="0"/>
              <w:adjustRightInd/>
              <w:snapToGrid/>
              <w:spacing w:line="420" w:lineRule="exact"/>
              <w:ind w:firstLine="864" w:firstLineChars="400"/>
              <w:jc w:val="center"/>
              <w:textAlignment w:val="auto"/>
              <w:rPr>
                <w:rFonts w:hint="eastAsia" w:ascii="宋体" w:hAnsi="宋体" w:eastAsia="宋体" w:cs="宋体"/>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864" w:firstLineChars="400"/>
              <w:jc w:val="center"/>
              <w:textAlignment w:val="auto"/>
              <w:rPr>
                <w:rFonts w:hint="eastAsia" w:ascii="宋体" w:hAnsi="宋体" w:eastAsia="宋体" w:cs="宋体"/>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864" w:firstLineChars="40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单位名称：</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20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（加盖公章）</w:t>
            </w:r>
          </w:p>
          <w:p>
            <w:pPr>
              <w:keepNext w:val="0"/>
              <w:keepLines w:val="0"/>
              <w:pageBreakBefore w:val="0"/>
              <w:widowControl w:val="0"/>
              <w:kinsoku/>
              <w:wordWrap/>
              <w:overflowPunct/>
              <w:topLinePunct w:val="0"/>
              <w:autoSpaceDE/>
              <w:autoSpaceDN/>
              <w:bidi w:val="0"/>
              <w:adjustRightInd/>
              <w:snapToGrid/>
              <w:spacing w:line="420" w:lineRule="exact"/>
              <w:jc w:val="right"/>
              <w:textAlignment w:val="auto"/>
              <w:rPr>
                <w:rFonts w:hint="eastAsia" w:ascii="宋体" w:hAnsi="宋体" w:eastAsia="宋体" w:cs="宋体"/>
                <w:sz w:val="22"/>
                <w:szCs w:val="22"/>
                <w:lang w:val="en-US"/>
              </w:rPr>
            </w:pPr>
            <w:r>
              <w:rPr>
                <w:rFonts w:hint="eastAsia" w:ascii="宋体" w:hAnsi="宋体" w:eastAsia="宋体" w:cs="宋体"/>
                <w:sz w:val="22"/>
                <w:szCs w:val="22"/>
                <w:lang w:val="en-US" w:eastAsia="zh-CN"/>
              </w:rPr>
              <w:t>日期：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0" w:hRule="atLeast"/>
          <w:jc w:val="center"/>
        </w:trPr>
        <w:tc>
          <w:tcPr>
            <w:tcW w:w="179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校</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区</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审</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核</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意</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见</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sz w:val="22"/>
                <w:szCs w:val="22"/>
                <w:lang w:val="en-US" w:eastAsia="zh-CN"/>
              </w:rPr>
            </w:pPr>
          </w:p>
        </w:tc>
        <w:tc>
          <w:tcPr>
            <w:tcW w:w="8477" w:type="dxa"/>
            <w:gridSpan w:val="5"/>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该生工作经历是否符合以工作代实习学分转换要求。</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校区负责人签字：</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（加盖公章）</w:t>
            </w:r>
          </w:p>
          <w:p>
            <w:pPr>
              <w:keepNext w:val="0"/>
              <w:keepLines w:val="0"/>
              <w:pageBreakBefore w:val="0"/>
              <w:widowControl w:val="0"/>
              <w:kinsoku/>
              <w:wordWrap/>
              <w:overflowPunct/>
              <w:topLinePunct w:val="0"/>
              <w:autoSpaceDE/>
              <w:autoSpaceDN/>
              <w:bidi w:val="0"/>
              <w:adjustRightInd/>
              <w:snapToGrid/>
              <w:spacing w:line="420" w:lineRule="exact"/>
              <w:jc w:val="right"/>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日期：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0" w:hRule="atLeast"/>
          <w:jc w:val="center"/>
        </w:trPr>
        <w:tc>
          <w:tcPr>
            <w:tcW w:w="1793" w:type="dxa"/>
            <w:tcBorders>
              <w:top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kern w:val="2"/>
                <w:sz w:val="22"/>
                <w:szCs w:val="22"/>
                <w:lang w:val="en-US" w:eastAsia="zh-CN" w:bidi="ar-SA"/>
              </w:rPr>
            </w:pP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学</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院</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审</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核</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意</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见</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default" w:ascii="宋体" w:hAnsi="宋体" w:eastAsia="宋体" w:cs="宋体"/>
                <w:kern w:val="2"/>
                <w:sz w:val="22"/>
                <w:szCs w:val="22"/>
                <w:lang w:val="en-US" w:eastAsia="zh-CN" w:bidi="ar-SA"/>
              </w:rPr>
            </w:pPr>
          </w:p>
        </w:tc>
        <w:tc>
          <w:tcPr>
            <w:tcW w:w="8477" w:type="dxa"/>
            <w:gridSpan w:val="5"/>
            <w:tcBorders>
              <w:top w:val="single" w:color="auto" w:sz="4" w:space="0"/>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该生工作经历是否符合以工作代实习学分转换要求。</w:t>
            </w: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eastAsia="宋体" w:cs="宋体"/>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eastAsia="宋体" w:cs="宋体"/>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  学院负责人签字：</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（加盖公章）</w:t>
            </w:r>
          </w:p>
          <w:p>
            <w:pPr>
              <w:keepNext w:val="0"/>
              <w:keepLines w:val="0"/>
              <w:pageBreakBefore w:val="0"/>
              <w:widowControl w:val="0"/>
              <w:kinsoku/>
              <w:wordWrap/>
              <w:overflowPunct/>
              <w:topLinePunct w:val="0"/>
              <w:autoSpaceDE/>
              <w:autoSpaceDN/>
              <w:bidi w:val="0"/>
              <w:adjustRightInd/>
              <w:snapToGrid/>
              <w:spacing w:line="420" w:lineRule="exact"/>
              <w:jc w:val="right"/>
              <w:textAlignment w:val="auto"/>
              <w:rPr>
                <w:rFonts w:hint="eastAsia"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日期：    年    月   日</w:t>
            </w:r>
          </w:p>
        </w:tc>
      </w:tr>
    </w:tbl>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说明：1.请如实填写表格中的内容，并加盖相关单位公章；</w:t>
      </w:r>
    </w:p>
    <w:p>
      <w:pPr>
        <w:keepNext w:val="0"/>
        <w:keepLines w:val="0"/>
        <w:pageBreakBefore w:val="0"/>
        <w:widowControl w:val="0"/>
        <w:numPr>
          <w:ilvl w:val="0"/>
          <w:numId w:val="1"/>
        </w:numPr>
        <w:kinsoku/>
        <w:wordWrap/>
        <w:overflowPunct/>
        <w:topLinePunct w:val="0"/>
        <w:autoSpaceDE/>
        <w:autoSpaceDN/>
        <w:bidi w:val="0"/>
        <w:adjustRightInd/>
        <w:snapToGrid/>
        <w:spacing w:line="340" w:lineRule="exact"/>
        <w:ind w:left="615" w:leftChars="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需另附有效工作经历证明，具体要求如下：（1）企业工作人员，需提供本人身份证复印</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件、本人与用人单位签署的劳动合同和用人单位给本人缴纳社保的证明（由参保地社保局出具，社保缴纳单位应与劳动合同签订单位一致）；（2）机关、事业单位工作人员需提供本人身份证复印件、单位出具的在职工作证明和工作单位给本人缴纳社保的证明（由参保地社保局出具，社保缴纳单位应与在职工作证明出具单位一致）；（3）劳务派遣人员需提供派遣公司为本人缴纳的社保证明（由参保地社保局出具），应再附上加盖公章的劳务派遣协议证明，劳务派遣人员的的学分转换申请表需由申请人的实际工作单位签署意见并加盖公章，实际工作单位应与劳务派遣协议中的派遣单位一致；（4）自主创业人员需提供本人身份证复印件、自己所经营企业的营业执照复印件。</w:t>
      </w:r>
    </w:p>
    <w:p>
      <w:pPr>
        <w:keepNext w:val="0"/>
        <w:keepLines w:val="0"/>
        <w:pageBreakBefore w:val="0"/>
        <w:widowControl w:val="0"/>
        <w:kinsoku/>
        <w:wordWrap/>
        <w:overflowPunct/>
        <w:topLinePunct w:val="0"/>
        <w:autoSpaceDE/>
        <w:autoSpaceDN/>
        <w:bidi w:val="0"/>
        <w:adjustRightInd/>
        <w:snapToGrid/>
        <w:spacing w:line="340" w:lineRule="exact"/>
        <w:ind w:left="0" w:leftChars="0" w:firstLine="618" w:firstLineChars="3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3.工作单位社会信用代码和法人信息可通过“天眼查”APP查询。</w:t>
      </w:r>
    </w:p>
    <w:p>
      <w:pPr>
        <w:keepNext w:val="0"/>
        <w:keepLines w:val="0"/>
        <w:pageBreakBefore w:val="0"/>
        <w:widowControl w:val="0"/>
        <w:kinsoku/>
        <w:wordWrap/>
        <w:overflowPunct/>
        <w:topLinePunct w:val="0"/>
        <w:autoSpaceDE/>
        <w:autoSpaceDN/>
        <w:bidi w:val="0"/>
        <w:adjustRightInd/>
        <w:snapToGrid/>
        <w:spacing w:line="340" w:lineRule="exact"/>
        <w:ind w:left="0" w:leftChars="0" w:firstLine="618" w:firstLineChars="3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以上材料均需一式两份，一份留校区存档备查，一份（同一人的按照申请表、身份证复印件、有效工作经历证明资料照由上至下的顺序装订）随校区《高职扩招学生学分转换申请花名册》一同寄送至学分银行管理中心。</w:t>
      </w:r>
    </w:p>
    <w:p>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szCs w:val="32"/>
          <w:lang w:val="en-US" w:eastAsia="zh-CN"/>
        </w:rPr>
        <w:sectPr>
          <w:pgSz w:w="11906" w:h="16838"/>
          <w:pgMar w:top="2098" w:right="1531" w:bottom="1984" w:left="1531" w:header="851" w:footer="1134" w:gutter="0"/>
          <w:pgNumType w:fmt="decimal"/>
          <w:cols w:space="720" w:num="1"/>
          <w:docGrid w:type="linesAndChars" w:linePitch="579" w:charSpace="-849"/>
        </w:sectPr>
      </w:pPr>
    </w:p>
    <w:p>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仿宋" w:eastAsia="方正小标宋简体" w:cs="宋体"/>
          <w:color w:val="000000"/>
          <w:kern w:val="0"/>
          <w:sz w:val="44"/>
          <w:szCs w:val="44"/>
          <w:lang w:bidi="mn-Mong-CN"/>
        </w:rPr>
      </w:pPr>
      <w:r>
        <w:rPr>
          <w:rFonts w:hint="eastAsia" w:ascii="方正小标宋简体" w:hAnsi="仿宋" w:eastAsia="方正小标宋简体" w:cs="宋体"/>
          <w:color w:val="000000"/>
          <w:kern w:val="0"/>
          <w:sz w:val="44"/>
          <w:szCs w:val="44"/>
          <w:lang w:bidi="mn-Mong-CN"/>
        </w:rPr>
        <w:t>郑州信息科技职业学院高职扩招学生学分转换申请花名册</w:t>
      </w:r>
    </w:p>
    <w:p>
      <w:pPr>
        <w:jc w:val="left"/>
        <w:rPr>
          <w:rFonts w:hint="eastAsia" w:ascii="宋体" w:hAnsi="宋体" w:eastAsia="宋体"/>
          <w:kern w:val="0"/>
          <w:sz w:val="28"/>
          <w:szCs w:val="28"/>
        </w:rPr>
      </w:pPr>
      <w:r>
        <w:rPr>
          <w:rFonts w:hint="eastAsia" w:ascii="宋体" w:hAnsi="宋体" w:eastAsia="宋体" w:cs="宋体"/>
          <w:color w:val="000000"/>
          <w:kern w:val="0"/>
          <w:sz w:val="28"/>
          <w:szCs w:val="28"/>
          <w:lang w:bidi="mn-Mong-CN"/>
        </w:rPr>
        <w:t>校区（盖章）：                                                          制表时间：</w:t>
      </w:r>
    </w:p>
    <w:tbl>
      <w:tblPr>
        <w:tblStyle w:val="10"/>
        <w:tblW w:w="13988" w:type="dxa"/>
        <w:tblInd w:w="108" w:type="dxa"/>
        <w:tblLayout w:type="fixed"/>
        <w:tblCellMar>
          <w:top w:w="0" w:type="dxa"/>
          <w:left w:w="108" w:type="dxa"/>
          <w:bottom w:w="0" w:type="dxa"/>
          <w:right w:w="108" w:type="dxa"/>
        </w:tblCellMar>
      </w:tblPr>
      <w:tblGrid>
        <w:gridCol w:w="883"/>
        <w:gridCol w:w="871"/>
        <w:gridCol w:w="2191"/>
        <w:gridCol w:w="2191"/>
        <w:gridCol w:w="2191"/>
        <w:gridCol w:w="2324"/>
        <w:gridCol w:w="1160"/>
        <w:gridCol w:w="2177"/>
      </w:tblGrid>
      <w:tr>
        <w:tblPrEx>
          <w:tblLayout w:type="fixed"/>
          <w:tblCellMar>
            <w:top w:w="0" w:type="dxa"/>
            <w:left w:w="108" w:type="dxa"/>
            <w:bottom w:w="0" w:type="dxa"/>
            <w:right w:w="108" w:type="dxa"/>
          </w:tblCellMar>
        </w:tblPrEx>
        <w:trPr>
          <w:trHeight w:val="300" w:hRule="atLeast"/>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宋体" w:hAnsi="宋体" w:eastAsia="宋体" w:cs="宋体"/>
                <w:b/>
                <w:bCs/>
                <w:color w:val="000000"/>
                <w:kern w:val="0"/>
                <w:sz w:val="24"/>
                <w:lang w:bidi="mn-Mong-CN"/>
              </w:rPr>
            </w:pPr>
            <w:r>
              <w:rPr>
                <w:rFonts w:hint="eastAsia" w:ascii="宋体" w:hAnsi="宋体" w:eastAsia="宋体" w:cs="宋体"/>
                <w:b/>
                <w:bCs/>
                <w:color w:val="000000"/>
                <w:kern w:val="0"/>
                <w:sz w:val="24"/>
                <w:lang w:bidi="mn-Mong-CN"/>
              </w:rPr>
              <w:t>学号</w:t>
            </w:r>
          </w:p>
        </w:tc>
        <w:tc>
          <w:tcPr>
            <w:tcW w:w="8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宋体" w:hAnsi="宋体" w:eastAsia="宋体" w:cs="宋体"/>
                <w:b/>
                <w:bCs/>
                <w:color w:val="000000"/>
                <w:kern w:val="0"/>
                <w:sz w:val="24"/>
                <w:lang w:bidi="mn-Mong-CN"/>
              </w:rPr>
            </w:pPr>
            <w:r>
              <w:rPr>
                <w:rFonts w:hint="eastAsia" w:ascii="宋体" w:hAnsi="宋体" w:eastAsia="宋体" w:cs="宋体"/>
                <w:b/>
                <w:bCs/>
                <w:color w:val="000000"/>
                <w:kern w:val="0"/>
                <w:sz w:val="24"/>
                <w:lang w:bidi="mn-Mong-CN"/>
              </w:rPr>
              <w:t>姓名</w:t>
            </w:r>
          </w:p>
        </w:tc>
        <w:tc>
          <w:tcPr>
            <w:tcW w:w="21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宋体" w:hAnsi="宋体" w:eastAsia="宋体" w:cs="宋体"/>
                <w:b/>
                <w:bCs/>
                <w:color w:val="000000"/>
                <w:kern w:val="0"/>
                <w:sz w:val="24"/>
                <w:lang w:bidi="mn-Mong-CN"/>
              </w:rPr>
            </w:pPr>
            <w:r>
              <w:rPr>
                <w:rFonts w:hint="eastAsia" w:ascii="宋体" w:hAnsi="宋体" w:eastAsia="宋体" w:cs="宋体"/>
                <w:b/>
                <w:bCs/>
                <w:color w:val="000000"/>
                <w:kern w:val="0"/>
                <w:sz w:val="24"/>
                <w:lang w:bidi="mn-Mong-CN"/>
              </w:rPr>
              <w:t>转换类型</w:t>
            </w:r>
          </w:p>
        </w:tc>
        <w:tc>
          <w:tcPr>
            <w:tcW w:w="21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宋体" w:hAnsi="宋体" w:eastAsia="宋体" w:cs="宋体"/>
                <w:b/>
                <w:bCs/>
                <w:color w:val="000000"/>
                <w:kern w:val="0"/>
                <w:sz w:val="24"/>
                <w:lang w:bidi="mn-Mong-CN"/>
              </w:rPr>
            </w:pPr>
            <w:r>
              <w:rPr>
                <w:rFonts w:hint="eastAsia" w:ascii="宋体" w:hAnsi="宋体" w:eastAsia="宋体" w:cs="宋体"/>
                <w:b/>
                <w:bCs/>
                <w:color w:val="000000"/>
                <w:kern w:val="0"/>
                <w:sz w:val="24"/>
                <w:lang w:bidi="mn-Mong-CN"/>
              </w:rPr>
              <w:t>成果类型</w:t>
            </w:r>
          </w:p>
        </w:tc>
        <w:tc>
          <w:tcPr>
            <w:tcW w:w="21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宋体" w:hAnsi="宋体" w:eastAsia="宋体" w:cs="宋体"/>
                <w:b/>
                <w:bCs/>
                <w:color w:val="000000"/>
                <w:kern w:val="0"/>
                <w:sz w:val="24"/>
                <w:lang w:bidi="mn-Mong-CN"/>
              </w:rPr>
            </w:pPr>
            <w:r>
              <w:rPr>
                <w:rFonts w:hint="eastAsia" w:ascii="宋体" w:hAnsi="宋体" w:eastAsia="宋体" w:cs="宋体"/>
                <w:b/>
                <w:bCs/>
                <w:color w:val="000000"/>
                <w:kern w:val="0"/>
                <w:sz w:val="24"/>
                <w:lang w:bidi="mn-Mong-CN"/>
              </w:rPr>
              <w:t>专业名称</w:t>
            </w:r>
          </w:p>
        </w:tc>
        <w:tc>
          <w:tcPr>
            <w:tcW w:w="23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宋体" w:hAnsi="宋体" w:eastAsia="宋体" w:cs="宋体"/>
                <w:b/>
                <w:bCs/>
                <w:color w:val="000000"/>
                <w:kern w:val="0"/>
                <w:sz w:val="24"/>
                <w:lang w:bidi="mn-Mong-CN"/>
              </w:rPr>
            </w:pPr>
            <w:r>
              <w:rPr>
                <w:rFonts w:hint="eastAsia" w:ascii="宋体" w:hAnsi="宋体" w:eastAsia="宋体" w:cs="宋体"/>
                <w:b/>
                <w:bCs/>
                <w:color w:val="000000"/>
                <w:kern w:val="0"/>
                <w:sz w:val="24"/>
                <w:lang w:bidi="mn-Mong-CN"/>
              </w:rPr>
              <w:t>学习成果名称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宋体" w:hAnsi="宋体" w:eastAsia="宋体" w:cs="宋体"/>
                <w:b/>
                <w:bCs/>
                <w:color w:val="000000"/>
                <w:kern w:val="0"/>
                <w:sz w:val="24"/>
                <w:lang w:bidi="mn-Mong-CN"/>
              </w:rPr>
            </w:pPr>
            <w:r>
              <w:rPr>
                <w:rFonts w:hint="eastAsia" w:ascii="宋体" w:hAnsi="宋体" w:eastAsia="宋体" w:cs="宋体"/>
                <w:b/>
                <w:bCs/>
                <w:color w:val="000000"/>
                <w:kern w:val="0"/>
                <w:sz w:val="24"/>
                <w:lang w:bidi="mn-Mong-CN"/>
              </w:rPr>
              <w:t>申请转换课程代码</w:t>
            </w:r>
          </w:p>
        </w:tc>
        <w:tc>
          <w:tcPr>
            <w:tcW w:w="21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宋体" w:hAnsi="宋体" w:eastAsia="宋体" w:cs="宋体"/>
                <w:b/>
                <w:bCs/>
                <w:color w:val="000000"/>
                <w:kern w:val="0"/>
                <w:sz w:val="24"/>
                <w:lang w:bidi="mn-Mong-CN"/>
              </w:rPr>
            </w:pPr>
            <w:r>
              <w:rPr>
                <w:rFonts w:hint="eastAsia" w:ascii="宋体" w:hAnsi="宋体" w:eastAsia="宋体" w:cs="宋体"/>
                <w:b/>
                <w:bCs/>
                <w:color w:val="000000"/>
                <w:kern w:val="0"/>
                <w:sz w:val="24"/>
                <w:lang w:bidi="mn-Mong-CN"/>
              </w:rPr>
              <w:t>申请转换课程名称</w:t>
            </w:r>
          </w:p>
        </w:tc>
      </w:tr>
      <w:tr>
        <w:tblPrEx>
          <w:tblLayout w:type="fixed"/>
          <w:tblCellMar>
            <w:top w:w="0" w:type="dxa"/>
            <w:left w:w="108" w:type="dxa"/>
            <w:bottom w:w="0" w:type="dxa"/>
            <w:right w:w="108" w:type="dxa"/>
          </w:tblCellMar>
        </w:tblPrEx>
        <w:trPr>
          <w:trHeight w:val="300" w:hRule="atLeast"/>
        </w:trPr>
        <w:tc>
          <w:tcPr>
            <w:tcW w:w="883" w:type="dxa"/>
            <w:tcBorders>
              <w:top w:val="single" w:color="auto" w:sz="4"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871"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2191" w:type="dxa"/>
            <w:tcBorders>
              <w:top w:val="single" w:color="auto" w:sz="4" w:space="0"/>
              <w:left w:val="nil"/>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p>
        </w:tc>
        <w:tc>
          <w:tcPr>
            <w:tcW w:w="2191" w:type="dxa"/>
            <w:tcBorders>
              <w:top w:val="single" w:color="auto" w:sz="4"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p>
        </w:tc>
        <w:tc>
          <w:tcPr>
            <w:tcW w:w="2191" w:type="dxa"/>
            <w:tcBorders>
              <w:top w:val="single" w:color="auto" w:sz="4"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p>
        </w:tc>
        <w:tc>
          <w:tcPr>
            <w:tcW w:w="2324" w:type="dxa"/>
            <w:tcBorders>
              <w:top w:val="single" w:color="auto" w:sz="4" w:space="0"/>
              <w:left w:val="single" w:color="auto" w:sz="4"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1160"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2177"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r>
      <w:tr>
        <w:tblPrEx>
          <w:tblLayout w:type="fixed"/>
          <w:tblCellMar>
            <w:top w:w="0" w:type="dxa"/>
            <w:left w:w="108" w:type="dxa"/>
            <w:bottom w:w="0" w:type="dxa"/>
            <w:right w:w="108" w:type="dxa"/>
          </w:tblCellMar>
        </w:tblPrEx>
        <w:trPr>
          <w:trHeight w:val="300" w:hRule="atLeast"/>
        </w:trPr>
        <w:tc>
          <w:tcPr>
            <w:tcW w:w="883"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871"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2191" w:type="dxa"/>
            <w:tcBorders>
              <w:top w:val="single" w:color="auto" w:sz="8" w:space="0"/>
              <w:left w:val="nil"/>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p>
        </w:tc>
        <w:tc>
          <w:tcPr>
            <w:tcW w:w="2324" w:type="dxa"/>
            <w:tcBorders>
              <w:top w:val="single" w:color="auto" w:sz="8" w:space="0"/>
              <w:left w:val="single" w:color="auto" w:sz="4"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116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2177"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r>
      <w:tr>
        <w:tblPrEx>
          <w:tblLayout w:type="fixed"/>
          <w:tblCellMar>
            <w:top w:w="0" w:type="dxa"/>
            <w:left w:w="108" w:type="dxa"/>
            <w:bottom w:w="0" w:type="dxa"/>
            <w:right w:w="108" w:type="dxa"/>
          </w:tblCellMar>
        </w:tblPrEx>
        <w:trPr>
          <w:trHeight w:val="300" w:hRule="atLeast"/>
        </w:trPr>
        <w:tc>
          <w:tcPr>
            <w:tcW w:w="883"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871"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2191" w:type="dxa"/>
            <w:tcBorders>
              <w:top w:val="single" w:color="auto" w:sz="8" w:space="0"/>
              <w:left w:val="nil"/>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p>
        </w:tc>
        <w:tc>
          <w:tcPr>
            <w:tcW w:w="2324" w:type="dxa"/>
            <w:tcBorders>
              <w:top w:val="single" w:color="auto" w:sz="8" w:space="0"/>
              <w:left w:val="single" w:color="auto" w:sz="4"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116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2177"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r>
      <w:tr>
        <w:tblPrEx>
          <w:tblLayout w:type="fixed"/>
          <w:tblCellMar>
            <w:top w:w="0" w:type="dxa"/>
            <w:left w:w="108" w:type="dxa"/>
            <w:bottom w:w="0" w:type="dxa"/>
            <w:right w:w="108" w:type="dxa"/>
          </w:tblCellMar>
        </w:tblPrEx>
        <w:trPr>
          <w:trHeight w:val="300" w:hRule="atLeast"/>
        </w:trPr>
        <w:tc>
          <w:tcPr>
            <w:tcW w:w="883"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871"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2191" w:type="dxa"/>
            <w:tcBorders>
              <w:top w:val="single" w:color="auto" w:sz="8" w:space="0"/>
              <w:left w:val="nil"/>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p>
        </w:tc>
        <w:tc>
          <w:tcPr>
            <w:tcW w:w="2324" w:type="dxa"/>
            <w:tcBorders>
              <w:top w:val="single" w:color="auto" w:sz="8" w:space="0"/>
              <w:left w:val="single" w:color="auto" w:sz="4"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116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2177"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r>
      <w:tr>
        <w:tblPrEx>
          <w:tblLayout w:type="fixed"/>
          <w:tblCellMar>
            <w:top w:w="0" w:type="dxa"/>
            <w:left w:w="108" w:type="dxa"/>
            <w:bottom w:w="0" w:type="dxa"/>
            <w:right w:w="108" w:type="dxa"/>
          </w:tblCellMar>
        </w:tblPrEx>
        <w:trPr>
          <w:trHeight w:val="300" w:hRule="atLeast"/>
        </w:trPr>
        <w:tc>
          <w:tcPr>
            <w:tcW w:w="883"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871"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2191" w:type="dxa"/>
            <w:tcBorders>
              <w:top w:val="single" w:color="auto" w:sz="8" w:space="0"/>
              <w:left w:val="nil"/>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p>
        </w:tc>
        <w:tc>
          <w:tcPr>
            <w:tcW w:w="2324" w:type="dxa"/>
            <w:tcBorders>
              <w:top w:val="single" w:color="auto" w:sz="8" w:space="0"/>
              <w:left w:val="single" w:color="auto" w:sz="4"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116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c>
          <w:tcPr>
            <w:tcW w:w="2177"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lang w:bidi="mn-Mong-CN"/>
              </w:rPr>
            </w:pPr>
            <w:r>
              <w:rPr>
                <w:rFonts w:hint="eastAsia" w:ascii="宋体" w:hAnsi="宋体" w:eastAsia="宋体" w:cs="宋体"/>
                <w:color w:val="000000"/>
                <w:kern w:val="0"/>
                <w:sz w:val="24"/>
                <w:lang w:bidi="mn-Mong-CN"/>
              </w:rPr>
              <w:t>　</w:t>
            </w:r>
          </w:p>
        </w:tc>
      </w:tr>
    </w:tbl>
    <w:p>
      <w:pPr>
        <w:spacing w:line="400" w:lineRule="exact"/>
        <w:jc w:val="left"/>
        <w:rPr>
          <w:rFonts w:ascii="宋体" w:hAnsi="宋体" w:eastAsia="宋体" w:cs="宋体"/>
          <w:color w:val="000000"/>
          <w:kern w:val="0"/>
          <w:sz w:val="21"/>
          <w:szCs w:val="21"/>
          <w:lang w:bidi="mn-Mong-CN"/>
        </w:rPr>
      </w:pPr>
      <w:r>
        <w:rPr>
          <w:rFonts w:hint="eastAsia" w:ascii="宋体" w:hAnsi="宋体" w:eastAsia="宋体" w:cs="宋体"/>
          <w:color w:val="000000"/>
          <w:kern w:val="0"/>
          <w:sz w:val="21"/>
          <w:szCs w:val="21"/>
          <w:lang w:bidi="mn-Mong-CN"/>
        </w:rPr>
        <w:t>注：1.转换类型、成果类型、学习成果名称均按照高职扩招教务平台显示内容准确填写。</w:t>
      </w:r>
    </w:p>
    <w:p>
      <w:pPr>
        <w:spacing w:line="400" w:lineRule="exact"/>
        <w:jc w:val="left"/>
        <w:rPr>
          <w:rFonts w:hint="eastAsia" w:ascii="宋体" w:hAnsi="宋体" w:eastAsia="宋体" w:cs="宋体"/>
          <w:color w:val="000000"/>
          <w:kern w:val="0"/>
          <w:sz w:val="21"/>
          <w:szCs w:val="21"/>
          <w:lang w:bidi="mn-Mong-CN"/>
        </w:rPr>
      </w:pPr>
      <w:r>
        <w:rPr>
          <w:rFonts w:hint="eastAsia" w:ascii="宋体" w:hAnsi="宋体" w:eastAsia="宋体" w:cs="宋体"/>
          <w:color w:val="000000"/>
          <w:kern w:val="0"/>
          <w:sz w:val="21"/>
          <w:szCs w:val="21"/>
          <w:lang w:bidi="mn-Mong-CN"/>
        </w:rPr>
        <w:t xml:space="preserve"> </w:t>
      </w:r>
      <w:r>
        <w:rPr>
          <w:rFonts w:ascii="宋体" w:hAnsi="宋体" w:eastAsia="宋体" w:cs="宋体"/>
          <w:color w:val="000000"/>
          <w:kern w:val="0"/>
          <w:sz w:val="21"/>
          <w:szCs w:val="21"/>
          <w:lang w:bidi="mn-Mong-CN"/>
        </w:rPr>
        <w:t xml:space="preserve">   </w:t>
      </w:r>
      <w:r>
        <w:rPr>
          <w:rFonts w:hint="eastAsia" w:ascii="宋体" w:hAnsi="宋体" w:eastAsia="宋体" w:cs="宋体"/>
          <w:color w:val="000000"/>
          <w:kern w:val="0"/>
          <w:sz w:val="21"/>
          <w:szCs w:val="21"/>
          <w:lang w:bidi="mn-Mong-CN"/>
        </w:rPr>
        <w:t>2.专业、申请转换课程代码、申请转换课程名称均按照高职扩招教务平台教务数据准确填写。</w:t>
      </w:r>
    </w:p>
    <w:p>
      <w:pPr>
        <w:spacing w:line="400" w:lineRule="exact"/>
        <w:ind w:firstLine="420" w:firstLineChars="200"/>
        <w:jc w:val="left"/>
        <w:rPr>
          <w:rFonts w:ascii="宋体" w:hAnsi="宋体" w:eastAsia="宋体" w:cs="宋体"/>
          <w:color w:val="000000"/>
          <w:kern w:val="0"/>
          <w:sz w:val="21"/>
          <w:szCs w:val="21"/>
          <w:lang w:bidi="mn-Mong-CN"/>
        </w:rPr>
      </w:pPr>
      <w:r>
        <w:rPr>
          <w:rFonts w:hint="eastAsia" w:ascii="宋体" w:hAnsi="宋体" w:eastAsia="宋体" w:cs="宋体"/>
          <w:color w:val="000000"/>
          <w:kern w:val="0"/>
          <w:sz w:val="21"/>
          <w:szCs w:val="21"/>
          <w:lang w:bidi="mn-Mong-CN"/>
        </w:rPr>
        <w:t>3.已对本表学生提供学习成果证明材料原件审核通过，本表一式两份，一份校区留存，一份学分银行管理中心留存。</w:t>
      </w:r>
    </w:p>
    <w:p>
      <w:pPr>
        <w:spacing w:line="400" w:lineRule="exact"/>
        <w:jc w:val="left"/>
        <w:rPr>
          <w:rFonts w:hint="eastAsia" w:ascii="宋体" w:hAnsi="宋体" w:eastAsia="宋体" w:cs="宋体"/>
          <w:color w:val="000000"/>
          <w:kern w:val="0"/>
          <w:sz w:val="21"/>
          <w:szCs w:val="21"/>
          <w:lang w:bidi="mn-Mong-CN"/>
        </w:rPr>
      </w:pPr>
    </w:p>
    <w:p>
      <w:pPr>
        <w:spacing w:line="400" w:lineRule="exact"/>
        <w:jc w:val="left"/>
        <w:rPr>
          <w:rFonts w:hint="eastAsia" w:ascii="宋体" w:hAnsi="宋体" w:eastAsia="宋体" w:cs="宋体"/>
          <w:color w:val="000000"/>
          <w:kern w:val="0"/>
          <w:sz w:val="21"/>
          <w:szCs w:val="21"/>
          <w:u w:val="single"/>
          <w:lang w:bidi="mn-Mong-CN"/>
        </w:rPr>
        <w:sectPr>
          <w:footerReference r:id="rId5" w:type="default"/>
          <w:pgSz w:w="16838" w:h="11906" w:orient="landscape"/>
          <w:pgMar w:top="1531" w:right="2098" w:bottom="1531" w:left="1984" w:header="851" w:footer="992" w:gutter="0"/>
          <w:pgNumType w:fmt="decimal"/>
          <w:cols w:space="425" w:num="1"/>
          <w:docGrid w:type="lines" w:linePitch="312" w:charSpace="0"/>
        </w:sectPr>
      </w:pPr>
      <w:r>
        <w:rPr>
          <w:rFonts w:hint="eastAsia" w:ascii="宋体" w:hAnsi="宋体" w:eastAsia="宋体" w:cs="宋体"/>
          <w:color w:val="000000"/>
          <w:kern w:val="0"/>
          <w:sz w:val="21"/>
          <w:szCs w:val="21"/>
          <w:lang w:bidi="mn-Mong-CN"/>
        </w:rPr>
        <w:t>校区审核人：</w:t>
      </w:r>
      <w:r>
        <w:rPr>
          <w:rFonts w:hint="eastAsia" w:ascii="宋体" w:hAnsi="宋体" w:eastAsia="宋体" w:cs="宋体"/>
          <w:color w:val="000000"/>
          <w:kern w:val="0"/>
          <w:sz w:val="21"/>
          <w:szCs w:val="21"/>
          <w:u w:val="single"/>
          <w:lang w:bidi="mn-Mong-CN"/>
        </w:rPr>
        <w:t xml:space="preserve">                  </w:t>
      </w: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459" w:lineRule="exact"/>
        <w:ind w:left="0" w:leftChars="0" w:right="840" w:rightChars="400" w:firstLine="0" w:firstLineChars="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59" w:lineRule="exact"/>
        <w:ind w:left="0" w:leftChars="0" w:right="840" w:rightChars="400" w:firstLine="0" w:firstLineChars="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59" w:lineRule="exact"/>
        <w:ind w:left="0" w:leftChars="0" w:right="840" w:rightChars="400" w:firstLine="0" w:firstLineChars="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59" w:lineRule="exact"/>
        <w:ind w:left="0" w:leftChars="0" w:right="840" w:rightChars="400" w:firstLine="0" w:firstLineChars="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59" w:lineRule="exact"/>
        <w:ind w:left="0" w:leftChars="0" w:right="840" w:rightChars="400" w:firstLine="0" w:firstLineChars="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59" w:lineRule="exact"/>
        <w:ind w:left="0" w:leftChars="0" w:right="840" w:rightChars="400" w:firstLine="0" w:firstLineChars="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59" w:lineRule="exact"/>
        <w:ind w:left="0" w:leftChars="0" w:right="840" w:rightChars="400" w:firstLine="0" w:firstLineChars="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59" w:lineRule="exact"/>
        <w:ind w:left="0" w:leftChars="0" w:right="840" w:rightChars="400" w:firstLine="0" w:firstLineChars="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59" w:lineRule="exact"/>
        <w:ind w:left="0" w:leftChars="0" w:right="840" w:rightChars="400" w:firstLine="0" w:firstLineChars="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59" w:lineRule="exact"/>
        <w:ind w:left="0" w:leftChars="0" w:right="840" w:rightChars="400" w:firstLine="0" w:firstLineChars="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59" w:lineRule="exact"/>
        <w:ind w:left="0" w:leftChars="0" w:right="840" w:rightChars="400" w:firstLine="0" w:firstLineChars="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59" w:lineRule="exact"/>
        <w:ind w:left="0" w:leftChars="0" w:right="840" w:rightChars="400" w:firstLine="0" w:firstLineChars="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59" w:lineRule="exact"/>
        <w:ind w:left="0" w:leftChars="0" w:right="840" w:rightChars="400" w:firstLine="0" w:firstLineChars="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59" w:lineRule="exact"/>
        <w:ind w:left="0" w:leftChars="0" w:right="840" w:rightChars="400" w:firstLine="0" w:firstLineChars="0"/>
        <w:jc w:val="both"/>
        <w:textAlignment w:val="auto"/>
        <w:rPr>
          <w:rFonts w:hint="eastAsia" w:ascii="仿宋_GB2312" w:hAnsi="仿宋_GB2312" w:eastAsia="仿宋_GB2312" w:cs="仿宋_GB2312"/>
          <w:sz w:val="32"/>
          <w:szCs w:val="32"/>
          <w:lang w:val="en-US" w:eastAsia="zh-CN"/>
        </w:rPr>
      </w:pPr>
    </w:p>
    <w:p>
      <w:pPr>
        <w:widowControl w:val="0"/>
        <w:spacing w:line="560" w:lineRule="exact"/>
        <w:ind w:left="0" w:leftChars="0" w:right="840" w:rightChars="400" w:firstLine="0" w:firstLineChars="0"/>
        <w:jc w:val="both"/>
        <w:rPr>
          <w:rFonts w:ascii="仿宋_GB2312" w:hAnsi="Times New Roman" w:eastAsia="仿宋_GB2312" w:cs="Times New Roman"/>
          <w:kern w:val="2"/>
          <w:sz w:val="32"/>
          <w:szCs w:val="24"/>
          <w:lang w:val="en-US" w:eastAsia="zh-CN" w:bidi="ar-SA"/>
        </w:rPr>
      </w:pPr>
      <w:r>
        <w:rPr>
          <w:rFonts w:ascii="仿宋_GB2312" w:hAnsi="Times New Roman" w:eastAsia="仿宋_GB2312" w:cs="Times New Roman"/>
          <w:color w:val="000000"/>
          <w:kern w:val="2"/>
          <w:sz w:val="28"/>
          <w:szCs w:val="28"/>
          <w:lang w:val="en-US" w:eastAsia="zh-CN" w:bidi="ar-SA"/>
        </w:rPr>
        <mc:AlternateContent>
          <mc:Choice Requires="wps">
            <w:drawing>
              <wp:anchor distT="0" distB="0" distL="114300" distR="114300" simplePos="0" relativeHeight="251668480" behindDoc="0" locked="0" layoutInCell="1" allowOverlap="1">
                <wp:simplePos x="0" y="0"/>
                <wp:positionH relativeFrom="column">
                  <wp:posOffset>8890</wp:posOffset>
                </wp:positionH>
                <wp:positionV relativeFrom="paragraph">
                  <wp:posOffset>316230</wp:posOffset>
                </wp:positionV>
                <wp:extent cx="557276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57276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7pt;margin-top:24.9pt;height:0pt;width:438.8pt;z-index:251668480;mso-width-relative:page;mso-height-relative:page;" filled="f" stroked="t" coordsize="21600,21600" o:gfxdata="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2rgG9tQAAAAHAQAADwAAAAAA&#10;AAABACAAAAAiAAAAZHJzL2Rvd25yZXYueG1sUEsBAhQAFAAAAAgAh07iQBhDbxneAQAApAMAAA4A&#10;AAAAAAAAAQAgAAAAIwEAAGRycy9lMm9Eb2MueG1sUEsFBgAAAAAGAAYAWQEAAHMFAAAAAA==&#10;">
                <v:fill on="f" focussize="0,0"/>
                <v:stroke color="#00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79" w:lineRule="exact"/>
        <w:ind w:firstLine="280" w:firstLineChars="100"/>
        <w:textAlignment w:val="auto"/>
        <w:rPr>
          <w:rFonts w:hint="default" w:ascii="仿宋_GB2312" w:hAnsi="Times New Roman" w:eastAsia="仿宋_GB2312" w:cs="Times New Roman"/>
          <w:color w:val="000000"/>
          <w:kern w:val="0"/>
          <w:sz w:val="28"/>
          <w:szCs w:val="28"/>
          <w:lang w:val="en-US" w:eastAsia="zh-CN"/>
        </w:rPr>
      </w:pPr>
      <w:r>
        <w:rPr>
          <w:rFonts w:hint="default" w:ascii="Times New Roman" w:hAnsi="Times New Roman" w:eastAsia="仿宋_GB2312" w:cs="Times New Roman"/>
          <w:color w:val="000000"/>
          <w:sz w:val="28"/>
          <w:szCs w:val="28"/>
          <w:lang w:val="en-US"/>
        </w:rPr>
        <mc:AlternateContent>
          <mc:Choice Requires="wps">
            <w:drawing>
              <wp:anchor distT="0" distB="0" distL="114300" distR="114300" simplePos="0" relativeHeight="251669504" behindDoc="0" locked="0" layoutInCell="1" allowOverlap="1">
                <wp:simplePos x="0" y="0"/>
                <wp:positionH relativeFrom="column">
                  <wp:posOffset>8890</wp:posOffset>
                </wp:positionH>
                <wp:positionV relativeFrom="paragraph">
                  <wp:posOffset>497840</wp:posOffset>
                </wp:positionV>
                <wp:extent cx="5610860" cy="9525"/>
                <wp:effectExtent l="0" t="0" r="0" b="0"/>
                <wp:wrapNone/>
                <wp:docPr id="6" name="直接连接符 6"/>
                <wp:cNvGraphicFramePr/>
                <a:graphic xmlns:a="http://schemas.openxmlformats.org/drawingml/2006/main">
                  <a:graphicData uri="http://schemas.microsoft.com/office/word/2010/wordprocessingShape">
                    <wps:wsp>
                      <wps:cNvCnPr/>
                      <wps:spPr>
                        <a:xfrm>
                          <a:off x="0" y="0"/>
                          <a:ext cx="5610860" cy="952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7pt;margin-top:39.2pt;height:0.75pt;width:441.8pt;z-index:251669504;mso-width-relative:page;mso-height-relative:page;" filled="f" stroked="t" coordsize="21600,21600" o:gfxdata="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I5TQiNUAAAAHAQAADwAAAAAA&#10;AAABACAAAAAiAAAAZHJzL2Rvd25yZXYueG1sUEsBAhQAFAAAAAgAh07iQGuu5RHdAQAApwMAAA4A&#10;AAAAAAAAAQAgAAAAJAEAAGRycy9lMm9Eb2MueG1sUEsFBgAAAAAGAAYAWQEAAHMFAAAAAA==&#10;">
                <v:fill on="f" focussize="0,0"/>
                <v:stroke color="#000000" joinstyle="round"/>
                <v:imagedata o:title=""/>
                <o:lock v:ext="edit" aspectratio="f"/>
              </v:line>
            </w:pict>
          </mc:Fallback>
        </mc:AlternateContent>
      </w:r>
      <w:r>
        <w:rPr>
          <w:rFonts w:hint="eastAsia" w:ascii="Times New Roman" w:hAnsi="Times New Roman" w:eastAsia="仿宋_GB2312" w:cs="Times New Roman"/>
          <w:color w:val="000000"/>
          <w:sz w:val="28"/>
          <w:szCs w:val="28"/>
          <w:lang w:val="en-US" w:eastAsia="zh-CN"/>
        </w:rPr>
        <w:t>郑州信息科技职业学院</w:t>
      </w:r>
      <w:r>
        <w:rPr>
          <w:rFonts w:hint="eastAsia" w:ascii="仿宋_GB2312" w:hAnsi="Times New Roman" w:eastAsia="仿宋_GB2312" w:cs="Times New Roman"/>
          <w:color w:val="000000"/>
          <w:kern w:val="0"/>
          <w:sz w:val="28"/>
          <w:szCs w:val="28"/>
        </w:rPr>
        <w:t xml:space="preserve">党政办公室     </w:t>
      </w:r>
      <w:r>
        <w:rPr>
          <w:rFonts w:hint="eastAsia" w:ascii="仿宋_GB2312" w:hAnsi="Times New Roman" w:eastAsia="仿宋_GB2312" w:cs="Times New Roman"/>
          <w:color w:val="000000"/>
          <w:kern w:val="0"/>
          <w:sz w:val="28"/>
          <w:szCs w:val="28"/>
          <w:lang w:val="en-US" w:eastAsia="zh-CN"/>
        </w:rPr>
        <w:t xml:space="preserve">  </w:t>
      </w:r>
      <w:r>
        <w:rPr>
          <w:rFonts w:hint="eastAsia" w:ascii="仿宋_GB2312" w:hAnsi="Times New Roman" w:eastAsia="仿宋_GB2312" w:cs="Times New Roman"/>
          <w:color w:val="000000"/>
          <w:kern w:val="0"/>
          <w:sz w:val="28"/>
          <w:szCs w:val="28"/>
        </w:rPr>
        <w:t xml:space="preserve"> </w:t>
      </w:r>
      <w:r>
        <w:rPr>
          <w:rFonts w:ascii="仿宋_GB2312" w:hAnsi="Times New Roman" w:eastAsia="仿宋_GB2312" w:cs="Times New Roman"/>
          <w:color w:val="000000"/>
          <w:kern w:val="0"/>
          <w:sz w:val="28"/>
          <w:szCs w:val="28"/>
        </w:rPr>
        <w:t xml:space="preserve">  </w:t>
      </w:r>
      <w:r>
        <w:rPr>
          <w:rFonts w:hint="eastAsia" w:ascii="仿宋_GB2312" w:hAnsi="Times New Roman" w:eastAsia="仿宋_GB2312" w:cs="Times New Roman"/>
          <w:color w:val="000000"/>
          <w:kern w:val="0"/>
          <w:sz w:val="28"/>
          <w:szCs w:val="28"/>
        </w:rPr>
        <w:t>20</w:t>
      </w:r>
      <w:r>
        <w:rPr>
          <w:rFonts w:ascii="仿宋_GB2312" w:hAnsi="Times New Roman" w:eastAsia="仿宋_GB2312" w:cs="Times New Roman"/>
          <w:color w:val="000000"/>
          <w:kern w:val="0"/>
          <w:sz w:val="28"/>
          <w:szCs w:val="28"/>
        </w:rPr>
        <w:t>2</w:t>
      </w:r>
      <w:r>
        <w:rPr>
          <w:rFonts w:hint="eastAsia" w:ascii="仿宋_GB2312" w:hAnsi="Times New Roman" w:eastAsia="仿宋_GB2312" w:cs="Times New Roman"/>
          <w:color w:val="000000"/>
          <w:kern w:val="0"/>
          <w:sz w:val="28"/>
          <w:szCs w:val="28"/>
          <w:lang w:val="en-US" w:eastAsia="zh-CN"/>
        </w:rPr>
        <w:t>3</w:t>
      </w:r>
      <w:r>
        <w:rPr>
          <w:rFonts w:hint="eastAsia" w:ascii="仿宋_GB2312" w:hAnsi="Times New Roman" w:eastAsia="仿宋_GB2312" w:cs="Times New Roman"/>
          <w:color w:val="000000"/>
          <w:kern w:val="0"/>
          <w:sz w:val="28"/>
          <w:szCs w:val="28"/>
        </w:rPr>
        <w:t>年</w:t>
      </w:r>
      <w:r>
        <w:rPr>
          <w:rFonts w:hint="eastAsia" w:ascii="仿宋_GB2312" w:hAnsi="Times New Roman" w:eastAsia="仿宋_GB2312" w:cs="Times New Roman"/>
          <w:color w:val="000000"/>
          <w:kern w:val="0"/>
          <w:sz w:val="28"/>
          <w:szCs w:val="28"/>
          <w:lang w:val="en-US" w:eastAsia="zh-CN"/>
        </w:rPr>
        <w:t>3</w:t>
      </w:r>
      <w:r>
        <w:rPr>
          <w:rFonts w:hint="eastAsia" w:ascii="仿宋_GB2312" w:hAnsi="Times New Roman" w:eastAsia="仿宋_GB2312" w:cs="Times New Roman"/>
          <w:color w:val="000000"/>
          <w:kern w:val="0"/>
          <w:sz w:val="28"/>
          <w:szCs w:val="28"/>
        </w:rPr>
        <w:t>月</w:t>
      </w:r>
      <w:r>
        <w:rPr>
          <w:rFonts w:hint="eastAsia" w:ascii="仿宋_GB2312" w:hAnsi="Times New Roman" w:eastAsia="仿宋_GB2312" w:cs="Times New Roman"/>
          <w:color w:val="000000"/>
          <w:kern w:val="0"/>
          <w:sz w:val="28"/>
          <w:szCs w:val="28"/>
          <w:lang w:val="en-US" w:eastAsia="zh-CN"/>
        </w:rPr>
        <w:t>8</w:t>
      </w:r>
      <w:r>
        <w:rPr>
          <w:rFonts w:hint="eastAsia" w:ascii="仿宋_GB2312" w:hAnsi="Times New Roman" w:eastAsia="仿宋_GB2312" w:cs="Times New Roman"/>
          <w:color w:val="000000"/>
          <w:kern w:val="0"/>
          <w:sz w:val="28"/>
          <w:szCs w:val="28"/>
        </w:rPr>
        <w:t>日印发</w:t>
      </w:r>
    </w:p>
    <w:sectPr>
      <w:footerReference r:id="rId6" w:type="default"/>
      <w:pgSz w:w="11906" w:h="16838"/>
      <w:pgMar w:top="1701" w:right="1531" w:bottom="198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ordWrap w:val="0"/>
      <w:ind w:right="210" w:rightChars="100"/>
      <w:jc w:val="right"/>
      <w:rPr>
        <w:rFonts w:ascii="宋体" w:hAnsi="宋体"/>
        <w:sz w:val="28"/>
        <w:szCs w:val="28"/>
      </w:rPr>
    </w:pPr>
    <w:r>
      <w:rPr>
        <w:sz w:val="2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5"/>
                            <w:wordWrap w:val="0"/>
                            <w:ind w:right="210" w:rightChars="100"/>
                            <w:jc w:val="right"/>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5</w:t>
                          </w:r>
                          <w:r>
                            <w:rPr>
                              <w:rFonts w:ascii="宋体" w:hAnsi="宋体"/>
                              <w:sz w:val="28"/>
                              <w:szCs w:val="28"/>
                            </w:rPr>
                            <w:fldChar w:fldCharType="end"/>
                          </w:r>
                          <w:r>
                            <w:rPr>
                              <w:rFonts w:ascii="宋体" w:hAnsi="宋体"/>
                              <w:sz w:val="28"/>
                              <w:szCs w:val="28"/>
                            </w:rPr>
                            <w:t xml:space="preserve"> </w:t>
                          </w:r>
                          <w:r>
                            <w:rPr>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Jf+9obAgAAIwQAAA4AAABkcnMvZTJvRG9jLnhtbK1Ty47TMBTdI/EP&#10;lvc0aRGjUj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7eUaKYwo9OP76efD6df3wj+AFBr/Qx2GwvL0L0zHYyHf4/P2HdX&#10;ORVvdESgB9THC7yiC4RHp+lkOs2h4tAND8TPHt2t8+G9MIpEoaAO80uwssPah950MInZtFk1UqYZ&#10;Sk3agl69fpM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CJf+9obAgAAIwQAAA4A&#10;AAAAAAAAAQAgAAAAHwEAAGRycy9lMm9Eb2MueG1sUEsFBgAAAAAGAAYAWQEAAKwFAAAAAA==&#10;">
              <v:fill on="f" focussize="0,0"/>
              <v:stroke on="f" weight="0.5pt"/>
              <v:imagedata o:title=""/>
              <o:lock v:ext="edit" aspectratio="f"/>
              <v:textbox inset="0mm,0mm,0mm,0mm" style="mso-fit-shape-to-text:t;">
                <w:txbxContent>
                  <w:p>
                    <w:pPr>
                      <w:pStyle w:val="5"/>
                      <w:wordWrap w:val="0"/>
                      <w:ind w:right="210" w:rightChars="100"/>
                      <w:jc w:val="right"/>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5</w:t>
                    </w:r>
                    <w:r>
                      <w:rPr>
                        <w:rFonts w:ascii="宋体" w:hAnsi="宋体"/>
                        <w:sz w:val="28"/>
                        <w:szCs w:val="28"/>
                      </w:rPr>
                      <w:fldChar w:fldCharType="end"/>
                    </w:r>
                    <w:r>
                      <w:rPr>
                        <w:rFonts w:ascii="宋体" w:hAnsi="宋体"/>
                        <w:sz w:val="28"/>
                        <w:szCs w:val="28"/>
                      </w:rPr>
                      <w:t xml:space="preserve"> </w:t>
                    </w:r>
                    <w:r>
                      <w:rPr>
                        <w:rFonts w:hint="eastAsia" w:ascii="宋体" w:hAnsi="宋体"/>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210" w:leftChars="1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6</w:t>
    </w:r>
    <w:r>
      <w:rPr>
        <w:rFonts w:ascii="宋体" w:hAnsi="宋体"/>
        <w:sz w:val="28"/>
        <w:szCs w:val="28"/>
      </w:rPr>
      <w:fldChar w:fldCharType="end"/>
    </w:r>
    <w:r>
      <w:rPr>
        <w:rFonts w:ascii="宋体" w:hAnsi="宋体"/>
        <w:sz w:val="28"/>
        <w:szCs w:val="28"/>
      </w:rPr>
      <w:t xml:space="preserve"> </w:t>
    </w:r>
    <w:r>
      <w:rPr>
        <w:rFonts w:hint="eastAsia" w:ascii="宋体" w:hAnsi="宋体"/>
        <w:sz w:val="28"/>
        <w:szCs w:val="28"/>
      </w:rPr>
      <w:t>—</w:t>
    </w:r>
  </w:p>
  <w:p>
    <w:pPr>
      <w:pStyle w:val="5"/>
      <w:tabs>
        <w:tab w:val="right" w:pos="8312"/>
        <w:tab w:val="clear" w:pos="4153"/>
        <w:tab w:val="clear" w:pos="8306"/>
      </w:tabs>
      <w:ind w:left="210" w:leftChars="100"/>
      <w:rPr>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-219075</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5"/>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13</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7.25pt;height:144pt;width:144pt;mso-position-horizontal:outside;mso-position-horizontal-relative:margin;mso-wrap-style:none;z-index:251661312;mso-width-relative:page;mso-height-relative:page;" filled="f" stroked="f" coordsize="21600,21600" o:gfxdata="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zL4DdYAAAAIAQAA&#10;DwAAAAAAAAABACAAAAAiAAAAZHJzL2Rvd25yZXYueG1sUEsBAhQAFAAAAAgAh07iQG5u89kbAgAA&#10;IwQAAA4AAAAAAAAAAQAgAAAAJQEAAGRycy9lMm9Eb2MueG1sUEsFBgAAAAAGAAYAWQEAALIFAAAA&#10;AA==&#10;">
              <v:fill on="f" focussize="0,0"/>
              <v:stroke on="f" weight="0.5pt"/>
              <v:imagedata o:title=""/>
              <o:lock v:ext="edit" aspectratio="f"/>
              <v:textbox inset="0mm,0mm,0mm,0mm" style="mso-fit-shape-to-text:t;">
                <w:txbxContent>
                  <w:p>
                    <w:pPr>
                      <w:pStyle w:val="5"/>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13</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-200025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13</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5.75pt;height:144pt;width:144pt;mso-position-horizontal:outside;mso-position-horizontal-relative:margin;mso-wrap-style:none;z-index:251659264;mso-width-relative:page;mso-height-relative:page;" filled="f" stroked="f" coordsize="21600,21600" o:gfxdata="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yeJK8NYAAAAIAQAADwAAAAAA&#10;AAABACAAAAAiAAAAZHJzL2Rvd25yZXYueG1sUEsBAhQAFAAAAAgAh07iQJvSDC8VAgAAEwQAAA4A&#10;AAAAAAAAAQAgAAAAJQEAAGRycy9lMm9Eb2MueG1sUEsFBgAAAAAGAAYAWQEAAKwFAAAAAA==&#10;">
              <v:fill on="f" focussize="0,0"/>
              <v:stroke on="f" weight="0.5pt"/>
              <v:imagedata o:title=""/>
              <o:lock v:ext="edit" aspectratio="f"/>
              <v:textbox inset="0mm,0mm,0mm,0mm" style="mso-fit-shape-to-text:t;">
                <w:txbxContent>
                  <w:p>
                    <w:pPr>
                      <w:pStyle w:val="5"/>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13</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71B79C"/>
    <w:multiLevelType w:val="singleLevel"/>
    <w:tmpl w:val="4F71B79C"/>
    <w:lvl w:ilvl="0" w:tentative="0">
      <w:start w:val="2"/>
      <w:numFmt w:val="decimal"/>
      <w:lvlText w:val="%1."/>
      <w:lvlJc w:val="left"/>
      <w:pPr>
        <w:tabs>
          <w:tab w:val="left" w:pos="312"/>
        </w:tabs>
        <w:ind w:left="615"/>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45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JhZDBlYTNmYWVkMzUxYzk2MjAyYWJiYmFkMzRkY2UifQ=="/>
  </w:docVars>
  <w:rsids>
    <w:rsidRoot w:val="00D966BD"/>
    <w:rsid w:val="00041D8E"/>
    <w:rsid w:val="000931EC"/>
    <w:rsid w:val="00157809"/>
    <w:rsid w:val="001B7943"/>
    <w:rsid w:val="001D27A3"/>
    <w:rsid w:val="004E4946"/>
    <w:rsid w:val="00503A76"/>
    <w:rsid w:val="00865CF4"/>
    <w:rsid w:val="00B210AE"/>
    <w:rsid w:val="00BF56B4"/>
    <w:rsid w:val="00C4716E"/>
    <w:rsid w:val="00C6664C"/>
    <w:rsid w:val="00D130A0"/>
    <w:rsid w:val="00D966BD"/>
    <w:rsid w:val="00E14FED"/>
    <w:rsid w:val="00E70D97"/>
    <w:rsid w:val="00EE37B6"/>
    <w:rsid w:val="01BF7FED"/>
    <w:rsid w:val="05B4596A"/>
    <w:rsid w:val="0B463E0C"/>
    <w:rsid w:val="0BA52599"/>
    <w:rsid w:val="1081783D"/>
    <w:rsid w:val="11925532"/>
    <w:rsid w:val="13211C2E"/>
    <w:rsid w:val="189E044E"/>
    <w:rsid w:val="1F1026FC"/>
    <w:rsid w:val="264829BA"/>
    <w:rsid w:val="26760DD3"/>
    <w:rsid w:val="267B1939"/>
    <w:rsid w:val="29FF45A7"/>
    <w:rsid w:val="2DDC7307"/>
    <w:rsid w:val="2E7A1D4A"/>
    <w:rsid w:val="31F20A27"/>
    <w:rsid w:val="32F7188E"/>
    <w:rsid w:val="3574799C"/>
    <w:rsid w:val="37516D94"/>
    <w:rsid w:val="37A91E04"/>
    <w:rsid w:val="3A300D3D"/>
    <w:rsid w:val="42504E08"/>
    <w:rsid w:val="478E2BFE"/>
    <w:rsid w:val="4904024F"/>
    <w:rsid w:val="499D4417"/>
    <w:rsid w:val="4AC25708"/>
    <w:rsid w:val="4EFC770F"/>
    <w:rsid w:val="4F990D26"/>
    <w:rsid w:val="518C7CF6"/>
    <w:rsid w:val="5967068F"/>
    <w:rsid w:val="5CD32CF3"/>
    <w:rsid w:val="5E132566"/>
    <w:rsid w:val="600036E7"/>
    <w:rsid w:val="60834226"/>
    <w:rsid w:val="655A254D"/>
    <w:rsid w:val="6F8777A1"/>
    <w:rsid w:val="70FF1D79"/>
    <w:rsid w:val="74AC41CD"/>
    <w:rsid w:val="77155627"/>
    <w:rsid w:val="77CA441A"/>
    <w:rsid w:val="79276D20"/>
    <w:rsid w:val="79736FC2"/>
    <w:rsid w:val="7DF6631D"/>
    <w:rsid w:val="7F555E31"/>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99"/>
    <w:pPr>
      <w:autoSpaceDE w:val="0"/>
      <w:autoSpaceDN w:val="0"/>
      <w:jc w:val="left"/>
    </w:pPr>
    <w:rPr>
      <w:rFonts w:ascii="仿宋_GB2312" w:hAnsi="仿宋_GB2312" w:cs="仿宋_GB2312"/>
      <w:kern w:val="0"/>
      <w:sz w:val="28"/>
      <w:szCs w:val="28"/>
      <w:lang w:val="zh-CN"/>
    </w:rPr>
  </w:style>
  <w:style w:type="paragraph" w:styleId="3">
    <w:name w:val="Body Text Indent 2"/>
    <w:basedOn w:val="1"/>
    <w:qFormat/>
    <w:uiPriority w:val="99"/>
    <w:pPr>
      <w:spacing w:line="420" w:lineRule="atLeast"/>
      <w:ind w:firstLine="540"/>
    </w:pPr>
    <w:rPr>
      <w:rFonts w:ascii="仿宋_GB2312" w:eastAsia="仿宋_GB2312"/>
      <w:sz w:val="30"/>
    </w:rPr>
  </w:style>
  <w:style w:type="paragraph" w:styleId="4">
    <w:name w:val="Balloon Text"/>
    <w:basedOn w:val="1"/>
    <w:link w:val="17"/>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8">
    <w:name w:val="Title"/>
    <w:basedOn w:val="1"/>
    <w:next w:val="1"/>
    <w:qFormat/>
    <w:uiPriority w:val="10"/>
    <w:pPr>
      <w:spacing w:before="240" w:after="60"/>
      <w:jc w:val="center"/>
      <w:outlineLvl w:val="0"/>
    </w:pPr>
    <w:rPr>
      <w:rFonts w:ascii="Calibri Light" w:hAnsi="Calibri Light" w:cs="Times New Roman"/>
      <w:b/>
      <w:bCs/>
      <w:sz w:val="32"/>
      <w:szCs w:val="32"/>
    </w:rPr>
  </w:style>
  <w:style w:type="paragraph" w:styleId="9">
    <w:name w:val="Body Text First Indent"/>
    <w:basedOn w:val="2"/>
    <w:unhideWhenUsed/>
    <w:qFormat/>
    <w:uiPriority w:val="0"/>
    <w:pPr>
      <w:ind w:firstLine="420" w:firstLineChars="100"/>
    </w:pPr>
  </w:style>
  <w:style w:type="character" w:styleId="12">
    <w:name w:val="Strong"/>
    <w:qFormat/>
    <w:uiPriority w:val="0"/>
    <w:rPr>
      <w:b/>
    </w:rPr>
  </w:style>
  <w:style w:type="character" w:styleId="13">
    <w:name w:val="page number"/>
    <w:basedOn w:val="11"/>
    <w:qFormat/>
    <w:uiPriority w:val="0"/>
  </w:style>
  <w:style w:type="character" w:styleId="14">
    <w:name w:val="Hyperlink"/>
    <w:qFormat/>
    <w:uiPriority w:val="0"/>
    <w:rPr>
      <w:color w:val="0000FF"/>
      <w:u w:val="single"/>
    </w:rPr>
  </w:style>
  <w:style w:type="character" w:customStyle="1" w:styleId="15">
    <w:name w:val="页眉 Char"/>
    <w:basedOn w:val="11"/>
    <w:link w:val="6"/>
    <w:qFormat/>
    <w:uiPriority w:val="99"/>
    <w:rPr>
      <w:sz w:val="18"/>
      <w:szCs w:val="18"/>
    </w:rPr>
  </w:style>
  <w:style w:type="character" w:customStyle="1" w:styleId="16">
    <w:name w:val="页脚 Char"/>
    <w:basedOn w:val="11"/>
    <w:link w:val="5"/>
    <w:qFormat/>
    <w:uiPriority w:val="99"/>
    <w:rPr>
      <w:sz w:val="18"/>
      <w:szCs w:val="18"/>
    </w:rPr>
  </w:style>
  <w:style w:type="character" w:customStyle="1" w:styleId="17">
    <w:name w:val="批注框文本 Char"/>
    <w:basedOn w:val="11"/>
    <w:link w:val="4"/>
    <w:semiHidden/>
    <w:qFormat/>
    <w:uiPriority w:val="99"/>
    <w:rPr>
      <w:sz w:val="18"/>
      <w:szCs w:val="18"/>
    </w:rPr>
  </w:style>
  <w:style w:type="paragraph" w:customStyle="1" w:styleId="18">
    <w:name w:val="Table Paragraph"/>
    <w:qFormat/>
    <w:uiPriority w:val="1"/>
    <w:pPr>
      <w:widowControl w:val="0"/>
      <w:jc w:val="both"/>
    </w:pPr>
    <w:rPr>
      <w:rFonts w:ascii="宋体" w:hAnsi="宋体" w:eastAsia="宋体" w:cs="宋体"/>
      <w:kern w:val="2"/>
      <w:sz w:val="21"/>
      <w:szCs w:val="22"/>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8488</Words>
  <Characters>8783</Characters>
  <Lines>1</Lines>
  <Paragraphs>1</Paragraphs>
  <TotalTime>0</TotalTime>
  <ScaleCrop>false</ScaleCrop>
  <LinksUpToDate>false</LinksUpToDate>
  <CharactersWithSpaces>9125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2020-11-04T07:26:00Z</dcterms:created>
  <dc:creator>Susan</dc:creator>
  <cp:lastModifiedBy>阿成</cp:lastModifiedBy>
  <cp:lastPrinted>2022-08-23T09:29:00Z</cp:lastPrinted>
  <dcterms:modified xsi:type="dcterms:W3CDTF">2023-03-09T01:17:23Z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55A7CB0BEEC648CBB5F99E9A07A15524</vt:lpwstr>
  </property>
</Properties>
</file>