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27CEF5">
      <w:pPr>
        <w:spacing w:line="360" w:lineRule="auto"/>
        <w:jc w:val="center"/>
        <w:rPr>
          <w:rFonts w:ascii="黑体" w:hAnsi="黑体" w:eastAsia="黑体" w:cs="仿宋_GB2312"/>
          <w:sz w:val="36"/>
          <w:szCs w:val="36"/>
        </w:rPr>
      </w:pPr>
      <w:r>
        <w:rPr>
          <w:rFonts w:hint="eastAsia" w:ascii="黑体" w:hAnsi="黑体" w:eastAsia="黑体" w:cs="仿宋_GB2312"/>
          <w:sz w:val="36"/>
          <w:szCs w:val="36"/>
        </w:rPr>
        <w:t>附件：云上河开-学历教育平台选课相关操作手册</w:t>
      </w:r>
    </w:p>
    <w:p w14:paraId="71B5CB8E">
      <w:pPr>
        <w:pStyle w:val="2"/>
        <w:tabs>
          <w:tab w:val="left" w:pos="425"/>
        </w:tabs>
      </w:pPr>
      <w:bookmarkStart w:id="0" w:name="_Toc7612"/>
      <w:r>
        <w:rPr>
          <w:rFonts w:hint="eastAsia"/>
        </w:rPr>
        <w:t>1.选课管理</w:t>
      </w:r>
      <w:bookmarkEnd w:id="0"/>
    </w:p>
    <w:p w14:paraId="581D2674">
      <w:pPr>
        <w:spacing w:line="360" w:lineRule="auto"/>
        <w:ind w:firstLine="643"/>
        <w:rPr>
          <w:rFonts w:ascii="仿宋_GB2312" w:hAnsi="微软雅黑" w:eastAsia="仿宋_GB2312"/>
          <w:sz w:val="30"/>
          <w:szCs w:val="30"/>
        </w:rPr>
      </w:pPr>
      <w:r>
        <w:rPr>
          <w:rFonts w:hint="eastAsia" w:ascii="仿宋_GB2312" w:hAnsi="微软雅黑" w:eastAsia="仿宋_GB2312"/>
          <w:sz w:val="30"/>
          <w:szCs w:val="30"/>
          <w:lang w:eastAsia="zh-CN"/>
        </w:rPr>
        <w:t>学院</w:t>
      </w:r>
      <w:r>
        <w:rPr>
          <w:rFonts w:hint="eastAsia" w:ascii="仿宋_GB2312" w:hAnsi="微软雅黑" w:eastAsia="仿宋_GB2312"/>
          <w:sz w:val="30"/>
          <w:szCs w:val="30"/>
        </w:rPr>
        <w:t>代学生选课分为两种方式：单独选课、批量选课。</w:t>
      </w:r>
    </w:p>
    <w:p w14:paraId="29CCE935">
      <w:pPr>
        <w:pStyle w:val="3"/>
        <w:ind w:firstLine="602"/>
        <w:rPr>
          <w:sz w:val="30"/>
          <w:szCs w:val="30"/>
        </w:rPr>
      </w:pPr>
      <w:bookmarkStart w:id="1" w:name="_Toc5006"/>
      <w:bookmarkStart w:id="2" w:name="_Toc1705"/>
      <w:r>
        <w:rPr>
          <w:rFonts w:hint="eastAsia"/>
          <w:sz w:val="30"/>
          <w:szCs w:val="30"/>
        </w:rPr>
        <w:t xml:space="preserve">1.1 </w:t>
      </w:r>
      <w:r>
        <w:rPr>
          <w:sz w:val="30"/>
          <w:szCs w:val="30"/>
        </w:rPr>
        <w:t>代学生选课</w:t>
      </w:r>
      <w:r>
        <w:rPr>
          <w:rFonts w:hint="eastAsia"/>
          <w:sz w:val="30"/>
          <w:szCs w:val="30"/>
        </w:rPr>
        <w:t>（单独选课）</w:t>
      </w:r>
      <w:bookmarkEnd w:id="1"/>
      <w:bookmarkEnd w:id="2"/>
    </w:p>
    <w:p w14:paraId="0E544753">
      <w:pPr>
        <w:spacing w:line="360" w:lineRule="auto"/>
        <w:ind w:firstLine="600" w:firstLineChars="200"/>
        <w:rPr>
          <w:rFonts w:ascii="仿宋_GB2312" w:hAnsi="微软雅黑" w:eastAsia="仿宋_GB2312"/>
          <w:sz w:val="30"/>
          <w:szCs w:val="30"/>
        </w:rPr>
      </w:pPr>
      <w:r>
        <w:rPr>
          <w:rFonts w:hint="eastAsia" w:ascii="仿宋_GB2312" w:hAnsi="微软雅黑" w:eastAsia="仿宋_GB2312"/>
          <w:sz w:val="30"/>
          <w:szCs w:val="30"/>
        </w:rPr>
        <w:t>单独选课是为某一位学生重修选课，具体操作流程如下：</w:t>
      </w:r>
    </w:p>
    <w:p w14:paraId="52082917">
      <w:pPr>
        <w:spacing w:line="360" w:lineRule="auto"/>
        <w:ind w:firstLine="600" w:firstLineChars="200"/>
        <w:rPr>
          <w:rFonts w:hint="eastAsia" w:ascii="仿宋_GB2312" w:hAnsi="微软雅黑" w:eastAsia="仿宋_GB2312"/>
          <w:sz w:val="30"/>
          <w:szCs w:val="30"/>
        </w:rPr>
      </w:pPr>
      <w:r>
        <w:rPr>
          <w:rFonts w:hint="eastAsia" w:ascii="仿宋_GB2312" w:hAnsi="微软雅黑" w:eastAsia="仿宋_GB2312"/>
          <w:color w:val="000000" w:themeColor="text1"/>
          <w:sz w:val="30"/>
          <w:szCs w:val="30"/>
          <w14:textFill>
            <w14:solidFill>
              <w14:schemeClr w14:val="tx1"/>
            </w14:solidFill>
          </w14:textFill>
        </w:rPr>
        <w:t>【教务管理】&gt;&gt;【选课管理】&gt;&gt;【代学生选课】&gt;&gt;精确查找学</w:t>
      </w:r>
      <w:r>
        <w:rPr>
          <w:rFonts w:hint="eastAsia" w:ascii="仿宋_GB2312" w:hAnsi="微软雅黑" w:eastAsia="仿宋_GB2312"/>
          <w:sz w:val="30"/>
          <w:szCs w:val="30"/>
        </w:rPr>
        <w:t>生&gt;&gt;【查询】&gt;&gt;【选课】，进入“单独选课”页面&gt;&gt;【是否获得学分】下拉菜单选择“未获得”&gt;&gt;【查询】&gt;&gt;批量勾选未获得学分的课程&gt;&gt;【为选中学生选课】。如下图：</w:t>
      </w:r>
    </w:p>
    <w:p w14:paraId="1F301E46">
      <w:pPr>
        <w:spacing w:line="360" w:lineRule="auto"/>
        <w:rPr>
          <w:rFonts w:ascii="仿宋_GB2312" w:eastAsia="仿宋_GB2312"/>
          <w:sz w:val="32"/>
          <w:szCs w:val="32"/>
        </w:rPr>
      </w:pPr>
      <w:r>
        <w:rPr>
          <w:rFonts w:hint="eastAsia" w:ascii="仿宋_GB2312" w:eastAsia="仿宋_GB2312"/>
          <w:sz w:val="32"/>
          <w:szCs w:val="32"/>
        </w:rPr>
        <w:drawing>
          <wp:inline distT="0" distB="0" distL="114300" distR="114300">
            <wp:extent cx="5609590" cy="2526030"/>
            <wp:effectExtent l="0" t="0" r="1016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609590" cy="2526030"/>
                    </a:xfrm>
                    <a:prstGeom prst="rect">
                      <a:avLst/>
                    </a:prstGeom>
                    <a:noFill/>
                    <a:ln>
                      <a:noFill/>
                    </a:ln>
                  </pic:spPr>
                </pic:pic>
              </a:graphicData>
            </a:graphic>
          </wp:inline>
        </w:drawing>
      </w:r>
    </w:p>
    <w:p w14:paraId="2A47DA31">
      <w:pPr>
        <w:spacing w:line="360" w:lineRule="auto"/>
        <w:rPr>
          <w:rFonts w:ascii="仿宋_GB2312" w:eastAsia="仿宋_GB2312"/>
          <w:sz w:val="32"/>
          <w:szCs w:val="32"/>
        </w:rPr>
      </w:pPr>
      <w:r>
        <w:rPr>
          <w:rFonts w:hint="eastAsia" w:ascii="仿宋_GB2312" w:eastAsia="仿宋_GB2312"/>
          <w:sz w:val="32"/>
          <w:szCs w:val="32"/>
        </w:rPr>
        <w:drawing>
          <wp:inline distT="0" distB="0" distL="114300" distR="114300">
            <wp:extent cx="5610860" cy="2653030"/>
            <wp:effectExtent l="0" t="0" r="8890" b="139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610860" cy="2653030"/>
                    </a:xfrm>
                    <a:prstGeom prst="rect">
                      <a:avLst/>
                    </a:prstGeom>
                    <a:noFill/>
                    <a:ln>
                      <a:noFill/>
                    </a:ln>
                  </pic:spPr>
                </pic:pic>
              </a:graphicData>
            </a:graphic>
          </wp:inline>
        </w:drawing>
      </w:r>
    </w:p>
    <w:p w14:paraId="7B603EBC">
      <w:pPr>
        <w:spacing w:line="360" w:lineRule="auto"/>
        <w:rPr>
          <w:rFonts w:ascii="仿宋_GB2312" w:eastAsia="仿宋_GB2312"/>
          <w:sz w:val="32"/>
          <w:szCs w:val="32"/>
        </w:rPr>
      </w:pPr>
      <w:r>
        <w:rPr>
          <w:rFonts w:hint="eastAsia" w:ascii="仿宋_GB2312" w:eastAsia="仿宋_GB2312"/>
          <w:sz w:val="32"/>
          <w:szCs w:val="32"/>
        </w:rPr>
        <w:drawing>
          <wp:inline distT="0" distB="0" distL="114300" distR="114300">
            <wp:extent cx="5374640" cy="3169920"/>
            <wp:effectExtent l="0" t="0" r="16510" b="1143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5374640" cy="3169920"/>
                    </a:xfrm>
                    <a:prstGeom prst="rect">
                      <a:avLst/>
                    </a:prstGeom>
                    <a:noFill/>
                    <a:ln>
                      <a:noFill/>
                    </a:ln>
                  </pic:spPr>
                </pic:pic>
              </a:graphicData>
            </a:graphic>
          </wp:inline>
        </w:drawing>
      </w:r>
    </w:p>
    <w:p w14:paraId="4AF1F238">
      <w:pPr>
        <w:spacing w:line="360" w:lineRule="auto"/>
        <w:rPr>
          <w:rFonts w:ascii="仿宋_GB2312" w:hAnsi="微软雅黑" w:eastAsia="仿宋_GB2312"/>
          <w:sz w:val="24"/>
        </w:rPr>
      </w:pPr>
      <w:r>
        <w:rPr>
          <w:rFonts w:hint="eastAsia" w:ascii="仿宋_GB2312" w:hAnsi="微软雅黑" w:eastAsia="仿宋_GB2312"/>
          <w:sz w:val="24"/>
        </w:rPr>
        <w:t>注：1.课程列表展示该学生培养方案中所有可选的课程；</w:t>
      </w:r>
    </w:p>
    <w:p w14:paraId="1BDDA1F0">
      <w:pPr>
        <w:spacing w:line="360" w:lineRule="auto"/>
        <w:ind w:firstLine="480" w:firstLineChars="200"/>
        <w:rPr>
          <w:rFonts w:hint="eastAsia" w:ascii="仿宋_GB2312" w:hAnsi="楷体" w:eastAsia="仿宋_GB2312"/>
          <w:sz w:val="24"/>
        </w:rPr>
      </w:pPr>
      <w:r>
        <w:rPr>
          <w:rFonts w:hint="eastAsia" w:ascii="仿宋_GB2312" w:hAnsi="微软雅黑" w:eastAsia="仿宋_GB2312"/>
          <w:sz w:val="24"/>
        </w:rPr>
        <w:t>2.</w:t>
      </w:r>
      <w:r>
        <w:rPr>
          <w:rFonts w:hint="eastAsia" w:ascii="仿宋_GB2312" w:hAnsi="楷体" w:eastAsia="仿宋_GB2312"/>
          <w:sz w:val="24"/>
        </w:rPr>
        <w:t>选课后</w:t>
      </w:r>
      <w:r>
        <w:rPr>
          <w:rFonts w:hint="eastAsia" w:ascii="仿宋_GB2312" w:hAnsi="楷体" w:eastAsia="仿宋_GB2312"/>
          <w:sz w:val="24"/>
          <w:lang w:val="en-US" w:eastAsia="zh-CN"/>
        </w:rPr>
        <w:t>教务处</w:t>
      </w:r>
      <w:r>
        <w:rPr>
          <w:rFonts w:hint="eastAsia" w:ascii="仿宋_GB2312" w:hAnsi="楷体" w:eastAsia="仿宋_GB2312"/>
          <w:sz w:val="24"/>
        </w:rPr>
        <w:t>统一执行缴费操作，缴费成功后选课成功，学生方可进入课程学习。</w:t>
      </w:r>
    </w:p>
    <w:p w14:paraId="22D491DB">
      <w:pPr>
        <w:spacing w:line="360" w:lineRule="auto"/>
        <w:ind w:firstLine="480" w:firstLineChars="200"/>
        <w:rPr>
          <w:rFonts w:hint="eastAsia" w:ascii="仿宋_GB2312" w:hAnsi="微软雅黑" w:eastAsia="仿宋_GB2312"/>
          <w:sz w:val="24"/>
        </w:rPr>
      </w:pPr>
      <w:r>
        <w:rPr>
          <w:rFonts w:hint="eastAsia" w:ascii="仿宋_GB2312" w:hAnsi="微软雅黑" w:eastAsia="仿宋_GB2312"/>
          <w:sz w:val="24"/>
          <w:lang w:val="en-US" w:eastAsia="zh-CN"/>
        </w:rPr>
        <w:t>3.《</w:t>
      </w:r>
      <w:r>
        <w:rPr>
          <w:rFonts w:hint="eastAsia" w:ascii="仿宋_GB2312" w:hAnsi="微软雅黑" w:eastAsia="仿宋_GB2312"/>
          <w:sz w:val="24"/>
        </w:rPr>
        <w:t>形势与政策5》以前已经及格的，在“单独选课”页面用“未获得学分”筛不出来，需要按“已获得学分”课程进行搜索并选课。</w:t>
      </w:r>
    </w:p>
    <w:p w14:paraId="064A8F69">
      <w:pPr>
        <w:pStyle w:val="3"/>
      </w:pPr>
      <w:bookmarkStart w:id="3" w:name="_Toc1560"/>
      <w:bookmarkStart w:id="4" w:name="_Toc20306"/>
      <w:r>
        <w:rPr>
          <w:rFonts w:hint="eastAsia"/>
        </w:rPr>
        <w:t>1.2 代学生选课（批量选课）</w:t>
      </w:r>
      <w:bookmarkEnd w:id="3"/>
      <w:bookmarkEnd w:id="4"/>
    </w:p>
    <w:p w14:paraId="2A165631">
      <w:pPr>
        <w:spacing w:line="360" w:lineRule="auto"/>
        <w:ind w:firstLine="643"/>
        <w:rPr>
          <w:rFonts w:ascii="仿宋_GB2312" w:hAnsi="微软雅黑" w:eastAsia="仿宋_GB2312"/>
          <w:sz w:val="30"/>
          <w:szCs w:val="30"/>
        </w:rPr>
      </w:pPr>
      <w:r>
        <w:rPr>
          <w:rFonts w:hint="eastAsia" w:ascii="仿宋_GB2312" w:hAnsi="微软雅黑" w:eastAsia="仿宋_GB2312"/>
          <w:sz w:val="30"/>
          <w:szCs w:val="30"/>
        </w:rPr>
        <w:t>批量选课是为同一培养方案下的一批学生选课，需要您首先根据学习批次和培养方案五要素查询出同一培养方案下同一批入学的学生，具体操作流程如下：</w:t>
      </w:r>
    </w:p>
    <w:p w14:paraId="0CF6B30C">
      <w:pPr>
        <w:spacing w:line="360" w:lineRule="auto"/>
        <w:ind w:firstLine="643"/>
        <w:rPr>
          <w:rFonts w:ascii="仿宋_GB2312" w:hAnsi="微软雅黑" w:eastAsia="仿宋_GB2312"/>
          <w:sz w:val="30"/>
          <w:szCs w:val="30"/>
        </w:rPr>
      </w:pPr>
      <w:r>
        <w:rPr>
          <w:rFonts w:hint="eastAsia" w:ascii="仿宋_GB2312" w:hAnsi="微软雅黑" w:eastAsia="仿宋_GB2312"/>
          <w:color w:val="000000" w:themeColor="text1"/>
          <w:sz w:val="30"/>
          <w:szCs w:val="30"/>
          <w14:textFill>
            <w14:solidFill>
              <w14:schemeClr w14:val="tx1"/>
            </w14:solidFill>
          </w14:textFill>
        </w:rPr>
        <w:t>【教务管理】&gt;&gt;【选课管理】&gt;&gt;【代学生选课】&gt;&gt;</w:t>
      </w:r>
      <w:r>
        <w:rPr>
          <w:rFonts w:hint="eastAsia" w:ascii="仿宋_GB2312" w:hAnsi="微软雅黑" w:eastAsia="仿宋_GB2312"/>
          <w:sz w:val="30"/>
          <w:szCs w:val="30"/>
        </w:rPr>
        <w:t>【批量选课】&gt;&gt;查询同一批培养方案下的学生&gt;&gt;勾选要选课的学生&gt;&gt;【去培养方案中选课】&gt;&gt;勾选要选课的课程&gt;&gt;【为选中的学生选课】，如下图：</w:t>
      </w:r>
    </w:p>
    <w:p w14:paraId="4D800C9E">
      <w:pPr>
        <w:spacing w:line="360" w:lineRule="auto"/>
        <w:rPr>
          <w:rFonts w:ascii="仿宋_GB2312" w:eastAsia="仿宋_GB2312"/>
          <w:sz w:val="32"/>
          <w:szCs w:val="32"/>
        </w:rPr>
      </w:pPr>
      <w:r>
        <w:rPr>
          <w:rFonts w:hint="eastAsia" w:ascii="仿宋_GB2312" w:eastAsia="仿宋_GB2312"/>
          <w:sz w:val="32"/>
          <w:szCs w:val="32"/>
        </w:rPr>
        <w:drawing>
          <wp:inline distT="0" distB="0" distL="114300" distR="114300">
            <wp:extent cx="5273040" cy="2695575"/>
            <wp:effectExtent l="0" t="0" r="3810" b="9525"/>
            <wp:docPr id="4" name="图片 4" descr="5caddacd-341c-4507-990d-1124b497ce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caddacd-341c-4507-990d-1124b497cee2"/>
                    <pic:cNvPicPr>
                      <a:picLocks noChangeAspect="1"/>
                    </pic:cNvPicPr>
                  </pic:nvPicPr>
                  <pic:blipFill>
                    <a:blip r:embed="rId7"/>
                    <a:stretch>
                      <a:fillRect/>
                    </a:stretch>
                  </pic:blipFill>
                  <pic:spPr>
                    <a:xfrm>
                      <a:off x="0" y="0"/>
                      <a:ext cx="5273040" cy="2695575"/>
                    </a:xfrm>
                    <a:prstGeom prst="rect">
                      <a:avLst/>
                    </a:prstGeom>
                  </pic:spPr>
                </pic:pic>
              </a:graphicData>
            </a:graphic>
          </wp:inline>
        </w:drawing>
      </w:r>
      <w:r>
        <w:rPr>
          <w:rFonts w:hint="eastAsia" w:ascii="仿宋_GB2312" w:eastAsia="仿宋_GB2312"/>
          <w:sz w:val="32"/>
          <w:szCs w:val="32"/>
        </w:rPr>
        <w:drawing>
          <wp:inline distT="0" distB="0" distL="114300" distR="114300">
            <wp:extent cx="5274310" cy="2054225"/>
            <wp:effectExtent l="0" t="0" r="2540" b="3175"/>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pic:cNvPicPr>
                  </pic:nvPicPr>
                  <pic:blipFill>
                    <a:blip r:embed="rId8"/>
                    <a:stretch>
                      <a:fillRect/>
                    </a:stretch>
                  </pic:blipFill>
                  <pic:spPr>
                    <a:xfrm>
                      <a:off x="0" y="0"/>
                      <a:ext cx="5274310" cy="2054225"/>
                    </a:xfrm>
                    <a:prstGeom prst="rect">
                      <a:avLst/>
                    </a:prstGeom>
                    <a:noFill/>
                    <a:ln>
                      <a:noFill/>
                    </a:ln>
                  </pic:spPr>
                </pic:pic>
              </a:graphicData>
            </a:graphic>
          </wp:inline>
        </w:drawing>
      </w:r>
    </w:p>
    <w:p w14:paraId="652D4981">
      <w:pPr>
        <w:spacing w:line="360" w:lineRule="auto"/>
        <w:rPr>
          <w:rFonts w:ascii="仿宋_GB2312" w:hAnsi="微软雅黑" w:eastAsia="仿宋_GB2312"/>
          <w:sz w:val="24"/>
        </w:rPr>
      </w:pPr>
      <w:r>
        <w:rPr>
          <w:rFonts w:hint="eastAsia" w:ascii="仿宋_GB2312" w:hAnsi="微软雅黑" w:eastAsia="仿宋_GB2312"/>
          <w:sz w:val="24"/>
        </w:rPr>
        <w:t>注：1.选课界面可根据建议开设学期查询课程；</w:t>
      </w:r>
    </w:p>
    <w:p w14:paraId="6327E17F">
      <w:pPr>
        <w:spacing w:line="360" w:lineRule="auto"/>
        <w:ind w:firstLine="480" w:firstLineChars="200"/>
        <w:rPr>
          <w:rFonts w:ascii="仿宋_GB2312" w:hAnsi="微软雅黑" w:eastAsia="仿宋_GB2312"/>
          <w:sz w:val="24"/>
        </w:rPr>
      </w:pPr>
      <w:r>
        <w:rPr>
          <w:rFonts w:hint="eastAsia" w:ascii="仿宋_GB2312" w:hAnsi="微软雅黑" w:eastAsia="仿宋_GB2312"/>
          <w:sz w:val="24"/>
        </w:rPr>
        <w:t>2.课程列表展示该批学生培养方案中所有可选课的课程；</w:t>
      </w:r>
    </w:p>
    <w:p w14:paraId="65039F03">
      <w:pPr>
        <w:spacing w:line="360" w:lineRule="auto"/>
        <w:ind w:firstLine="480" w:firstLineChars="200"/>
        <w:rPr>
          <w:rFonts w:hint="eastAsia" w:ascii="仿宋_GB2312" w:hAnsi="微软雅黑" w:eastAsia="仿宋_GB2312"/>
          <w:sz w:val="24"/>
        </w:rPr>
      </w:pPr>
      <w:r>
        <w:rPr>
          <w:rFonts w:hint="eastAsia" w:ascii="仿宋_GB2312" w:hAnsi="微软雅黑" w:eastAsia="仿宋_GB2312"/>
          <w:sz w:val="24"/>
        </w:rPr>
        <w:t>3.选课后</w:t>
      </w:r>
      <w:r>
        <w:rPr>
          <w:rFonts w:hint="eastAsia" w:ascii="仿宋_GB2312" w:hAnsi="微软雅黑" w:eastAsia="仿宋_GB2312"/>
          <w:sz w:val="24"/>
          <w:lang w:val="en-US" w:eastAsia="zh-CN"/>
        </w:rPr>
        <w:t>教务处</w:t>
      </w:r>
      <w:r>
        <w:rPr>
          <w:rFonts w:hint="eastAsia" w:ascii="仿宋_GB2312" w:hAnsi="微软雅黑" w:eastAsia="仿宋_GB2312"/>
          <w:sz w:val="24"/>
        </w:rPr>
        <w:t>统一执行缴费操作，缴费成功后选课成功，学生方可进入课程学习。</w:t>
      </w:r>
      <w:bookmarkStart w:id="5" w:name="_Toc20201"/>
    </w:p>
    <w:p w14:paraId="58A0CCF8">
      <w:pPr>
        <w:spacing w:line="360" w:lineRule="auto"/>
        <w:ind w:firstLine="643" w:firstLineChars="200"/>
      </w:pPr>
      <w:r>
        <w:rPr>
          <w:rFonts w:hint="eastAsia" w:ascii="楷体_GB2312" w:hAnsi="微软雅黑" w:eastAsia="楷体_GB2312"/>
          <w:b/>
          <w:bCs/>
          <w:sz w:val="32"/>
          <w:szCs w:val="32"/>
        </w:rPr>
        <w:t>2. 退课</w:t>
      </w:r>
      <w:bookmarkEnd w:id="5"/>
      <w:bookmarkStart w:id="7" w:name="_GoBack"/>
      <w:bookmarkEnd w:id="7"/>
    </w:p>
    <w:p w14:paraId="35F6F2B2">
      <w:pPr>
        <w:spacing w:line="360" w:lineRule="auto"/>
        <w:ind w:firstLine="600" w:firstLineChars="200"/>
        <w:rPr>
          <w:sz w:val="30"/>
          <w:szCs w:val="30"/>
        </w:rPr>
      </w:pPr>
      <w:r>
        <w:rPr>
          <w:rFonts w:hint="eastAsia" w:ascii="仿宋_GB2312" w:hAnsi="微软雅黑" w:eastAsia="仿宋_GB2312"/>
          <w:sz w:val="30"/>
          <w:szCs w:val="30"/>
        </w:rPr>
        <w:t>在选课期间，学生可能会因为各种各样的原因造成课程的错选、误选，但只要是在学校规定的退课期内（一般为选课结束后一个月内），</w:t>
      </w:r>
      <w:r>
        <w:rPr>
          <w:rFonts w:hint="eastAsia" w:ascii="仿宋_GB2312" w:hAnsi="微软雅黑" w:eastAsia="仿宋_GB2312"/>
          <w:sz w:val="30"/>
          <w:szCs w:val="30"/>
          <w:lang w:eastAsia="zh-CN"/>
        </w:rPr>
        <w:t>学院</w:t>
      </w:r>
      <w:r>
        <w:rPr>
          <w:rFonts w:hint="eastAsia" w:ascii="仿宋_GB2312" w:hAnsi="微软雅黑" w:eastAsia="仿宋_GB2312"/>
          <w:sz w:val="30"/>
          <w:szCs w:val="30"/>
        </w:rPr>
        <w:t>可为学生申请退课。退课申请审核流程：</w:t>
      </w:r>
      <w:r>
        <w:rPr>
          <w:rFonts w:hint="eastAsia" w:ascii="仿宋_GB2312" w:hAnsi="微软雅黑" w:eastAsia="仿宋_GB2312"/>
          <w:sz w:val="30"/>
          <w:szCs w:val="30"/>
          <w:lang w:eastAsia="zh-CN"/>
        </w:rPr>
        <w:t>学院</w:t>
      </w:r>
      <w:r>
        <w:rPr>
          <w:rFonts w:hint="eastAsia" w:ascii="仿宋_GB2312" w:hAnsi="微软雅黑" w:eastAsia="仿宋_GB2312"/>
          <w:sz w:val="30"/>
          <w:szCs w:val="30"/>
        </w:rPr>
        <w:t>发起申请&gt;&gt;</w:t>
      </w:r>
      <w:r>
        <w:rPr>
          <w:rFonts w:hint="eastAsia" w:ascii="仿宋_GB2312" w:hAnsi="微软雅黑" w:eastAsia="仿宋_GB2312"/>
          <w:sz w:val="30"/>
          <w:szCs w:val="30"/>
          <w:lang w:val="en-US" w:eastAsia="zh-CN"/>
        </w:rPr>
        <w:t>学院</w:t>
      </w:r>
      <w:r>
        <w:rPr>
          <w:rFonts w:hint="eastAsia" w:ascii="仿宋_GB2312" w:hAnsi="微软雅黑" w:eastAsia="仿宋_GB2312"/>
          <w:sz w:val="30"/>
          <w:szCs w:val="30"/>
        </w:rPr>
        <w:t>审核&gt;&gt;学校财务审核&gt;&gt;退费完成。</w:t>
      </w:r>
    </w:p>
    <w:p w14:paraId="652D843B">
      <w:pPr>
        <w:spacing w:line="360" w:lineRule="auto"/>
        <w:ind w:firstLine="600" w:firstLineChars="200"/>
        <w:rPr>
          <w:rFonts w:ascii="仿宋_GB2312" w:hAnsi="微软雅黑" w:eastAsia="仿宋_GB2312"/>
          <w:sz w:val="30"/>
          <w:szCs w:val="30"/>
        </w:rPr>
      </w:pPr>
      <w:r>
        <w:rPr>
          <w:rFonts w:hint="eastAsia" w:ascii="仿宋_GB2312" w:hAnsi="微软雅黑" w:eastAsia="仿宋_GB2312"/>
          <w:sz w:val="30"/>
          <w:szCs w:val="30"/>
        </w:rPr>
        <w:t>具体申请操作流程：【教务管理】&gt;&gt;【选课管理】&gt;&gt;【退课</w:t>
      </w:r>
      <w:r>
        <w:rPr>
          <w:rFonts w:hint="eastAsia" w:ascii="仿宋_GB2312" w:hAnsi="微软雅黑" w:eastAsia="仿宋_GB2312"/>
          <w:sz w:val="30"/>
          <w:szCs w:val="30"/>
          <w:lang w:val="en-US" w:eastAsia="zh-CN"/>
        </w:rPr>
        <w:t>审核</w:t>
      </w:r>
      <w:r>
        <w:rPr>
          <w:rFonts w:hint="eastAsia" w:ascii="仿宋_GB2312" w:hAnsi="微软雅黑" w:eastAsia="仿宋_GB2312"/>
          <w:sz w:val="30"/>
          <w:szCs w:val="30"/>
        </w:rPr>
        <w:t>】&gt;&gt;【添加退课申请】&gt;&gt;精确查找学生&gt;&gt;【申请退课】&gt;&gt;勾选课程&gt;&gt;【提交退课申请】&gt;&gt;【</w:t>
      </w:r>
      <w:r>
        <w:rPr>
          <w:rFonts w:hint="eastAsia" w:ascii="仿宋_GB2312" w:hAnsi="微软雅黑" w:eastAsia="仿宋_GB2312"/>
          <w:sz w:val="30"/>
          <w:szCs w:val="30"/>
          <w:lang w:val="en-US" w:eastAsia="zh-CN"/>
        </w:rPr>
        <w:t>审核</w:t>
      </w:r>
      <w:r>
        <w:rPr>
          <w:rFonts w:hint="eastAsia" w:ascii="仿宋_GB2312" w:hAnsi="微软雅黑" w:eastAsia="仿宋_GB2312"/>
          <w:sz w:val="30"/>
          <w:szCs w:val="30"/>
        </w:rPr>
        <w:t>退课】，如下图：</w:t>
      </w:r>
    </w:p>
    <w:p w14:paraId="40E26BA3">
      <w:pPr>
        <w:spacing w:line="360" w:lineRule="auto"/>
        <w:rPr>
          <w:rFonts w:hint="eastAsia" w:ascii="仿宋_GB2312" w:eastAsia="仿宋_GB2312"/>
          <w:sz w:val="32"/>
          <w:szCs w:val="32"/>
          <w:lang w:eastAsia="zh-CN"/>
        </w:rPr>
      </w:pPr>
      <w:r>
        <w:rPr>
          <w:rFonts w:hint="eastAsia" w:ascii="仿宋_GB2312" w:eastAsia="仿宋_GB2312"/>
          <w:sz w:val="32"/>
          <w:szCs w:val="32"/>
          <w:lang w:eastAsia="zh-CN"/>
        </w:rPr>
        <w:drawing>
          <wp:inline distT="0" distB="0" distL="114300" distR="114300">
            <wp:extent cx="5268595" cy="2014220"/>
            <wp:effectExtent l="0" t="0" r="8255" b="5080"/>
            <wp:docPr id="6" name="图片 6" descr="企业微信截图_17727840594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企业微信截图_17727840594451"/>
                    <pic:cNvPicPr>
                      <a:picLocks noChangeAspect="1"/>
                    </pic:cNvPicPr>
                  </pic:nvPicPr>
                  <pic:blipFill>
                    <a:blip r:embed="rId9"/>
                    <a:stretch>
                      <a:fillRect/>
                    </a:stretch>
                  </pic:blipFill>
                  <pic:spPr>
                    <a:xfrm>
                      <a:off x="0" y="0"/>
                      <a:ext cx="5268595" cy="2014220"/>
                    </a:xfrm>
                    <a:prstGeom prst="rect">
                      <a:avLst/>
                    </a:prstGeom>
                  </pic:spPr>
                </pic:pic>
              </a:graphicData>
            </a:graphic>
          </wp:inline>
        </w:drawing>
      </w:r>
    </w:p>
    <w:p w14:paraId="0B4A5365">
      <w:pPr>
        <w:pStyle w:val="2"/>
        <w:tabs>
          <w:tab w:val="left" w:pos="425"/>
        </w:tabs>
      </w:pPr>
      <w:r>
        <w:rPr>
          <w:rFonts w:hint="eastAsia"/>
        </w:rPr>
        <w:t>3.</w:t>
      </w:r>
      <w:bookmarkStart w:id="6" w:name="_Toc4849"/>
      <w:r>
        <w:rPr>
          <w:rFonts w:hint="eastAsia"/>
        </w:rPr>
        <w:t xml:space="preserve"> 查询与统计</w:t>
      </w:r>
      <w:bookmarkEnd w:id="6"/>
    </w:p>
    <w:p w14:paraId="2ECF9A4D">
      <w:pPr>
        <w:spacing w:line="360" w:lineRule="auto"/>
        <w:ind w:firstLine="643"/>
        <w:rPr>
          <w:rFonts w:ascii="仿宋_GB2312" w:hAnsi="微软雅黑" w:eastAsia="仿宋_GB2312"/>
          <w:sz w:val="32"/>
          <w:szCs w:val="32"/>
        </w:rPr>
      </w:pPr>
      <w:r>
        <w:rPr>
          <w:rFonts w:hint="eastAsia" w:ascii="仿宋_GB2312" w:hAnsi="微软雅黑" w:eastAsia="仿宋_GB2312"/>
          <w:sz w:val="30"/>
          <w:szCs w:val="30"/>
        </w:rPr>
        <w:t>学生在学习平台自行选课或</w:t>
      </w:r>
      <w:r>
        <w:rPr>
          <w:rFonts w:hint="eastAsia" w:ascii="仿宋_GB2312" w:hAnsi="微软雅黑" w:eastAsia="仿宋_GB2312"/>
          <w:sz w:val="30"/>
          <w:szCs w:val="30"/>
          <w:lang w:eastAsia="zh-CN"/>
        </w:rPr>
        <w:t>学院</w:t>
      </w:r>
      <w:r>
        <w:rPr>
          <w:rFonts w:hint="eastAsia" w:ascii="仿宋_GB2312" w:hAnsi="微软雅黑" w:eastAsia="仿宋_GB2312"/>
          <w:sz w:val="30"/>
          <w:szCs w:val="30"/>
        </w:rPr>
        <w:t>代学生批量选课后，平台会生成学生的选课信息，在此功能中可查询到任何缴费状态的学生选课信息，并可导出查询结果。查询路径：【教务管理】&gt;&gt;【查询统计】&gt;&gt;【查询选课信息】，如下图：</w:t>
      </w:r>
    </w:p>
    <w:p w14:paraId="331A950F">
      <w:pPr>
        <w:rPr>
          <w:rFonts w:hint="eastAsia" w:eastAsia="宋体"/>
          <w:lang w:eastAsia="zh-CN"/>
        </w:rPr>
      </w:pPr>
      <w:r>
        <w:rPr>
          <w:rFonts w:hint="eastAsia" w:eastAsia="宋体"/>
          <w:lang w:eastAsia="zh-CN"/>
        </w:rPr>
        <w:drawing>
          <wp:inline distT="0" distB="0" distL="114300" distR="114300">
            <wp:extent cx="5266690" cy="2867660"/>
            <wp:effectExtent l="0" t="0" r="10160" b="8890"/>
            <wp:docPr id="1" name="图片 1" descr="7c09a65b-f5ad-47d5-a5fd-aaa010c139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c09a65b-f5ad-47d5-a5fd-aaa010c139b5"/>
                    <pic:cNvPicPr>
                      <a:picLocks noChangeAspect="1"/>
                    </pic:cNvPicPr>
                  </pic:nvPicPr>
                  <pic:blipFill>
                    <a:blip r:embed="rId10"/>
                    <a:stretch>
                      <a:fillRect/>
                    </a:stretch>
                  </pic:blipFill>
                  <pic:spPr>
                    <a:xfrm>
                      <a:off x="0" y="0"/>
                      <a:ext cx="5266690" cy="286766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3A2E0A"/>
    <w:rsid w:val="02CE4930"/>
    <w:rsid w:val="0E67321C"/>
    <w:rsid w:val="14134B52"/>
    <w:rsid w:val="1441006B"/>
    <w:rsid w:val="15B82E98"/>
    <w:rsid w:val="25B83F05"/>
    <w:rsid w:val="2F3A2E0A"/>
    <w:rsid w:val="55384597"/>
    <w:rsid w:val="6037369D"/>
    <w:rsid w:val="6200643D"/>
    <w:rsid w:val="67EB7247"/>
    <w:rsid w:val="754E6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1"/>
    <w:pPr>
      <w:ind w:left="842"/>
      <w:outlineLvl w:val="1"/>
    </w:pPr>
    <w:rPr>
      <w:rFonts w:ascii="Microsoft JhengHei" w:hAnsi="Microsoft JhengHei" w:eastAsia="Microsoft JhengHei" w:cs="Microsoft JhengHei"/>
      <w:b/>
      <w:bCs/>
      <w:sz w:val="30"/>
      <w:szCs w:val="30"/>
      <w:lang w:val="zh-CN" w:eastAsia="zh-CN" w:bidi="zh-CN"/>
    </w:rPr>
  </w:style>
  <w:style w:type="paragraph" w:styleId="3">
    <w:name w:val="heading 3"/>
    <w:basedOn w:val="1"/>
    <w:next w:val="1"/>
    <w:qFormat/>
    <w:uiPriority w:val="0"/>
    <w:pPr>
      <w:keepLines/>
      <w:tabs>
        <w:tab w:val="left" w:pos="425"/>
        <w:tab w:val="left" w:pos="907"/>
      </w:tabs>
      <w:spacing w:before="120" w:after="120"/>
      <w:ind w:left="105" w:leftChars="50" w:firstLine="643" w:firstLineChars="200"/>
      <w:outlineLvl w:val="2"/>
    </w:pPr>
    <w:rPr>
      <w:rFonts w:ascii="仿宋_GB2312" w:eastAsia="仿宋_GB2312"/>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846</Words>
  <Characters>889</Characters>
  <Lines>0</Lines>
  <Paragraphs>0</Paragraphs>
  <TotalTime>15</TotalTime>
  <ScaleCrop>false</ScaleCrop>
  <LinksUpToDate>false</LinksUpToDate>
  <CharactersWithSpaces>893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2026-03-05T02:59:00Z</dcterms:created>
  <dc:creator>杨赟幸</dc:creator>
  <cp:lastModifiedBy>杨赟幸</cp:lastModifiedBy>
  <dcterms:modified xsi:type="dcterms:W3CDTF">2026-03-06T08:40:23Z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D1B97739FABA4776883A9D44BB8D4123_11</vt:lpwstr>
  </property>
  <property fmtid="{D5CDD505-2E9C-101B-9397-08002B2CF9AE}" pid="4" name="KSOTemplateDocerSaveRecord">
    <vt:lpwstr>eyJoZGlkIjoiYWEwZWQzNzFmMzI3OGIwMjZlZTIyM2U0NTE3M2I2NTIiLCJ1c2VySWQiOiIxNjM5NDY0OTM0In0=</vt:lpwstr>
  </property>
</Properties>
</file>