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9" w:lineRule="exact"/>
        <w:ind w:right="1280" w:rightChars="400"/>
        <w:jc w:val="both"/>
        <w:textAlignment w:val="auto"/>
        <w:rPr>
          <w:rFonts w:hint="default" w:ascii="黑体" w:hAnsi="黑体" w:eastAsia="黑体" w:cs="黑体"/>
          <w:snapToGrid w:val="0"/>
          <w:spacing w:val="20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20"/>
          <w:kern w:val="0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sz w:val="44"/>
          <w:szCs w:val="44"/>
        </w:rPr>
        <w:t>高职扩招平台学分转换相关操作方法与注意事项</w:t>
      </w:r>
    </w:p>
    <w:p>
      <w:pPr>
        <w:rPr>
          <w:rFonts w:hint="eastAsia"/>
          <w:b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一、查看转换细则方式</w:t>
      </w:r>
    </w:p>
    <w:p>
      <w:pPr>
        <w:ind w:firstLine="645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</w:t>
      </w:r>
      <w:r>
        <w:rPr>
          <w:rFonts w:hint="eastAsia" w:ascii="仿宋_GB2312" w:hAnsi="仿宋_GB2312" w:cs="仿宋_GB2312"/>
          <w:bCs/>
          <w:sz w:val="32"/>
          <w:szCs w:val="32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查看转换</w:t>
      </w:r>
      <w:r>
        <w:rPr>
          <w:rFonts w:hint="eastAsia" w:ascii="仿宋_GB2312" w:hAnsi="仿宋_GB2312" w:cs="仿宋_GB2312"/>
          <w:bCs/>
          <w:sz w:val="32"/>
          <w:szCs w:val="32"/>
          <w:lang w:val="en-US" w:eastAsia="zh-CN"/>
        </w:rPr>
        <w:t>规则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cs="仿宋_GB2312"/>
          <w:bCs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</w:rPr>
        <w:t>访问河南省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终身教育学分银行网站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2"/>
        </w:rPr>
        <w:t>http://xfyh.open.ha.cn/hn_cbank_cms/zhbz/index.jhtml</w:t>
      </w:r>
      <w:r>
        <w:rPr>
          <w:rFonts w:hint="eastAsia" w:ascii="仿宋_GB2312" w:hAnsi="仿宋_GB2312" w:eastAsia="仿宋_GB2312" w:cs="仿宋_GB2312"/>
          <w:sz w:val="28"/>
          <w:szCs w:val="28"/>
        </w:rPr>
        <w:t>）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选择顶部菜单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标准体系</w:t>
      </w:r>
      <w:r>
        <w:rPr>
          <w:rFonts w:hint="eastAsia" w:ascii="仿宋_GB2312" w:hAnsi="仿宋_GB2312" w:eastAsia="仿宋_GB2312" w:cs="仿宋_GB2312"/>
          <w:sz w:val="32"/>
          <w:szCs w:val="32"/>
        </w:rPr>
        <w:t>的“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转换标准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也可登录高职扩招学习平台，查看路径为“事物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sym w:font="Wingdings" w:char="F0E0"/>
      </w:r>
      <w:r>
        <w:rPr>
          <w:rFonts w:hint="eastAsia" w:ascii="仿宋_GB2312" w:hAnsi="仿宋_GB2312" w:cs="仿宋_GB2312"/>
          <w:bCs/>
          <w:sz w:val="32"/>
          <w:szCs w:val="32"/>
          <w:lang w:val="en-US" w:eastAsia="zh-CN"/>
        </w:rPr>
        <w:t>查看学分转换规则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”，页面如下图所示：</w:t>
      </w:r>
    </w:p>
    <w:p>
      <w:pPr>
        <w:ind w:firstLine="645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2098040</wp:posOffset>
            </wp:positionV>
            <wp:extent cx="5607050" cy="1745615"/>
            <wp:effectExtent l="0" t="0" r="12700" b="6985"/>
            <wp:wrapSquare wrapText="bothSides"/>
            <wp:docPr id="5" name="图片 2" descr="mmexport1663037557728_edit_397441430297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mmexport1663037557728_edit_397441430297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仿宋_GB2312" w:hAnsi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73025</wp:posOffset>
            </wp:positionV>
            <wp:extent cx="5612765" cy="1768475"/>
            <wp:effectExtent l="0" t="0" r="6985" b="3175"/>
            <wp:wrapSquare wrapText="bothSides"/>
            <wp:docPr id="2" name="图片 3" descr="IMG_20220913_105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0220913_1050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176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</w:t>
      </w:r>
      <w:r>
        <w:rPr>
          <w:rFonts w:hint="eastAsia" w:ascii="仿宋_GB2312" w:hAnsi="仿宋_GB2312" w:cs="仿宋_GB2312"/>
          <w:bCs/>
          <w:sz w:val="32"/>
          <w:szCs w:val="32"/>
          <w:lang w:val="en-US" w:eastAsia="zh-CN"/>
        </w:rPr>
        <w:t>校区工作人员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查看</w:t>
      </w:r>
      <w:r>
        <w:rPr>
          <w:rFonts w:hint="eastAsia" w:ascii="仿宋_GB2312" w:hAnsi="仿宋_GB2312" w:cs="仿宋_GB2312"/>
          <w:bCs/>
          <w:sz w:val="32"/>
          <w:szCs w:val="32"/>
          <w:lang w:val="en-US" w:eastAsia="zh-CN"/>
        </w:rPr>
        <w:t>转换规则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cs="仿宋_GB2312"/>
          <w:bCs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访问高职扩招教务平台。查看路径为“学籍管理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sym w:font="Wingdings" w:char="F0E0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查询统计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sym w:font="Wingdings" w:char="F0E0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查询学分转换规则”，页面如下图所示</w:t>
      </w:r>
      <w:r>
        <w:rPr>
          <w:rFonts w:hint="eastAsia" w:ascii="仿宋_GB2312" w:hAnsi="仿宋_GB2312" w:cs="仿宋_GB2312"/>
          <w:bCs/>
          <w:sz w:val="32"/>
          <w:szCs w:val="32"/>
          <w:lang w:eastAsia="zh-CN"/>
        </w:rPr>
        <w:t>：</w:t>
      </w:r>
    </w:p>
    <w:p>
      <w:pPr>
        <w:ind w:firstLine="660"/>
        <w:rPr>
          <w:sz w:val="32"/>
          <w:szCs w:val="32"/>
        </w:rPr>
      </w:pPr>
      <w:r>
        <w:drawing>
          <wp:inline distT="0" distB="0" distL="114300" distR="114300">
            <wp:extent cx="4440555" cy="1821180"/>
            <wp:effectExtent l="0" t="0" r="17145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0555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  </w:t>
      </w:r>
    </w:p>
    <w:p>
      <w:pPr>
        <w:spacing w:before="240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spacing w:before="24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二、学分认定和转换操作方法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高职扩招教务平台学分认定和转换操作页面路径为：学籍管理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sym w:font="Wingdings" w:char="F0E0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学分转换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sym w:font="Wingdings" w:char="F0E0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初审学分转换。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1.学分认定和转换申请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点击“添加”，弹出申请学分转换窗口，如下图所示。</w:t>
      </w:r>
    </w:p>
    <w:p>
      <w:pPr>
        <w:ind w:firstLine="640" w:firstLineChars="200"/>
        <w:jc w:val="left"/>
        <w:rPr>
          <w:sz w:val="32"/>
          <w:szCs w:val="32"/>
        </w:rPr>
      </w:pPr>
      <w:r>
        <w:drawing>
          <wp:inline distT="0" distB="0" distL="114300" distR="114300">
            <wp:extent cx="4150360" cy="1720850"/>
            <wp:effectExtent l="0" t="0" r="2540" b="1270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503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sz w:val="32"/>
          <w:szCs w:val="32"/>
        </w:rPr>
      </w:pPr>
      <w:r>
        <w:drawing>
          <wp:inline distT="0" distB="0" distL="114300" distR="114300">
            <wp:extent cx="4631690" cy="4097020"/>
            <wp:effectExtent l="0" t="0" r="16510" b="1778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31690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在上图所示申请学分转换窗口中，首先，录入学号，查询学生信息；其次，根据学习成果和转换细则，在窗口中选择转换类型、成果类型、成果名称。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选择完毕后，若窗口下方的可转换课程列表中出现待选课程，则勾选要转换的课程；若窗口下方的可转换课程列表中无任何课程，则表示该成果当前学期无可转换课程，可在其他学期申请。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最后，由校区管理人员上传身份证、学习成果等材料照片，并提交申请。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2192655</wp:posOffset>
                </wp:positionV>
                <wp:extent cx="314325" cy="161925"/>
                <wp:effectExtent l="4445" t="4445" r="5080" b="508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619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9pt;margin-top:172.65pt;height:12.75pt;width:24.75pt;z-index:251660288;mso-width-relative:page;mso-height-relative:page;" filled="f" stroked="t" coordsize="21600,21600" o:gfxdata="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WPWuftwAAAALAQAADwAAAAAAAAABACAAAAAiAAAAZHJzL2Rvd25yZXYu&#10;eG1sUEsBAhQAFAAAAAgAh07iQFBXiRj3AQAA9AMAAA4AAAAAAAAAAQAgAAAAKwEAAGRycy9lMm9E&#10;b2MueG1sUEsFBgAAAAAGAAYAWQEAAJQFAAAAAA==&#10;">
                <v:path/>
                <v:fill on="f" focussize="0,0"/>
                <v:stroke color="#FF0000"/>
                <v:imagedata o:title=""/>
                <o:lock v:ext="edit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1790700</wp:posOffset>
                </wp:positionV>
                <wp:extent cx="314325" cy="161925"/>
                <wp:effectExtent l="4445" t="4445" r="5080" b="508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619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3.75pt;margin-top:141pt;height:12.75pt;width:24.75pt;z-index:251659264;mso-width-relative:page;mso-height-relative:page;" filled="f" stroked="t" coordsize="21600,21600" o:gfxdata="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VZTtPbAAAACwEAAA8AAAAAAAAAAQAgAAAAIgAAAGRycy9kb3ducmV2Lnht&#10;bFBLAQIUABQAAAAIAIdO4kDwZ6YB9gEAAPQDAAAOAAAAAAAAAAEAIAAAACoBAABkcnMvZTJvRG9j&#10;LnhtbFBLBQYAAAAABgAGAFkBAACSBQAAAAA=&#10;">
                <v:path/>
                <v:fill on="f" focussize="0,0"/>
                <v:stroke color="#FF0000"/>
                <v:imagedata o:title=""/>
                <o:lock v:ext="edit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2.初审操作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按照路径：学籍管理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sym w:font="Wingdings" w:char="F0E0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学分转换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sym w:font="Wingdings" w:char="F0E0"/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初审学分转换，即可在初审学分转换申请页面看到学分申请列表，如下图所示。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各校区在该列表最右侧“操作”列，完成初审操作。</w:t>
      </w:r>
    </w:p>
    <w:p>
      <w:pPr>
        <w:ind w:firstLine="320" w:firstLineChars="100"/>
        <w:rPr>
          <w:sz w:val="32"/>
          <w:szCs w:val="32"/>
        </w:rPr>
      </w:pPr>
      <w:r>
        <w:drawing>
          <wp:inline distT="0" distB="0" distL="114300" distR="114300">
            <wp:extent cx="5274310" cy="1897380"/>
            <wp:effectExtent l="0" t="0" r="2540" b="762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1.身份证应上传正面与反面照片。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2.各类证件照片应调整至正确方向，再上传平台。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3.上传到平台的各类照片均为证件原件彩色照片，上传证件复印件照片视为无效信息。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4.上传证件照片，应确保证件内容完整清晰，避免非证件信息背景出现。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5.证明材料支持 PNG、JPG、PDF格式，每个材料上传大小限 5M以内。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6.转换类型、成果类型、成果名称均为必填项，用以查询出可转换的课程列表；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7.因申请材料不全未被审核通过者，可在规定时间内补全材料，重新提交申请，并再次制作《高职扩招学生学分转换申请花名册》，签字盖章后报送学分银行管理中心。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ascii="仿宋_GB2312" w:hAns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ascii="仿宋_GB2312" w:hAns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ascii="仿宋_GB2312" w:hAnsi="仿宋_GB2312" w:cs="仿宋_GB231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8813E7E-EE56-4CEF-B0AF-24C2FE72A41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D56276A-10B1-48BF-80CE-9105408BBB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CD21C021-CFAA-465E-BC8B-3F9B7E5A1F4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1825A0DB-DA26-4BDC-ADF2-A9D499EE31D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9B2BE94A-803C-49B6-A689-2EA641BCBA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hZDBlYTNmYWVkMzUxYzk2MjAyYWJiYmFkMzRkY2UifQ=="/>
  </w:docVars>
  <w:rsids>
    <w:rsidRoot w:val="00000000"/>
    <w:rsid w:val="19815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character" w:styleId="5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2022-09-19T02:06:03Z</dcterms:created>
  <dc:creator>Administrator</dc:creator>
  <cp:lastModifiedBy>变变变</cp:lastModifiedBy>
  <dcterms:modified xsi:type="dcterms:W3CDTF">2022-09-19T02:06:48Z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50510DFF3DDE44E39A63BCFD22D14AAD</vt:lpwstr>
  </property>
</Properties>
</file>