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40"/>
        <w:rPr>
          <w:rFonts w:hint="eastAsia"/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附件1：</w:t>
      </w:r>
    </w:p>
    <w:p>
      <w:pPr>
        <w:spacing w:after="24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高职扩招平台学分转换相关操作方法与注意事项</w:t>
      </w:r>
    </w:p>
    <w:p>
      <w:pPr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b/>
          <w:sz w:val="32"/>
          <w:szCs w:val="32"/>
        </w:rPr>
        <w:t>一、查看转换细则方式</w:t>
      </w:r>
    </w:p>
    <w:p>
      <w:pPr>
        <w:ind w:firstLine="645"/>
        <w:rPr>
          <w:sz w:val="32"/>
          <w:szCs w:val="32"/>
        </w:rPr>
      </w:pPr>
      <w:r>
        <w:rPr>
          <w:rFonts w:hint="eastAsia"/>
          <w:bCs/>
          <w:sz w:val="32"/>
          <w:szCs w:val="32"/>
        </w:rPr>
        <w:t>1.若查看全部转换细则，</w:t>
      </w:r>
      <w:r>
        <w:rPr>
          <w:rFonts w:hint="eastAsia"/>
          <w:sz w:val="32"/>
          <w:szCs w:val="32"/>
        </w:rPr>
        <w:t>访问河南省学分银管理服务平台（</w:t>
      </w:r>
      <w:r>
        <w:fldChar w:fldCharType="begin"/>
      </w:r>
      <w:r>
        <w:instrText xml:space="preserve"> HYPERLINK "http://xfyh.open.ha.cn/gzkzzhxz.aspx" </w:instrText>
      </w:r>
      <w:r>
        <w:fldChar w:fldCharType="separate"/>
      </w:r>
      <w:r>
        <w:rPr>
          <w:rStyle w:val="7"/>
          <w:sz w:val="32"/>
          <w:szCs w:val="32"/>
        </w:rPr>
        <w:t>http://xfyh.open.ha.cn/gzkzzhxz.aspx</w:t>
      </w:r>
      <w:r>
        <w:rPr>
          <w:rStyle w:val="8"/>
          <w:sz w:val="32"/>
          <w:szCs w:val="32"/>
        </w:rPr>
        <w:fldChar w:fldCharType="end"/>
      </w:r>
      <w:r>
        <w:rPr>
          <w:rFonts w:hint="eastAsia"/>
          <w:sz w:val="32"/>
          <w:szCs w:val="32"/>
        </w:rPr>
        <w:t>）。选择顶部菜单的“</w:t>
      </w:r>
      <w:r>
        <w:rPr>
          <w:rFonts w:hint="eastAsia"/>
          <w:b/>
          <w:sz w:val="32"/>
          <w:szCs w:val="32"/>
        </w:rPr>
        <w:t>转换标准</w:t>
      </w:r>
      <w:r>
        <w:rPr>
          <w:rFonts w:hint="eastAsia"/>
          <w:sz w:val="32"/>
          <w:szCs w:val="32"/>
        </w:rPr>
        <w:t>”，按照学习成果、转换课程和专业等不同条件进行查询，如下图所示。</w:t>
      </w:r>
    </w:p>
    <w:p>
      <w:pPr>
        <w:ind w:firstLine="645"/>
        <w:rPr>
          <w:sz w:val="32"/>
          <w:szCs w:val="32"/>
        </w:rPr>
      </w:pPr>
      <w:r>
        <w:rPr>
          <w:sz w:val="32"/>
          <w:szCs w:val="32"/>
        </w:rPr>
        <w:drawing>
          <wp:inline distT="0" distB="0" distL="0" distR="0">
            <wp:extent cx="3981450" cy="13436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99786" cy="1350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2.若查看本学期可转换细则，访问高职扩招教务平台。查看路径为“学籍管理</w:t>
      </w:r>
      <w:r>
        <w:rPr>
          <w:bCs/>
          <w:sz w:val="32"/>
          <w:szCs w:val="32"/>
        </w:rPr>
        <w:sym w:font="Wingdings" w:char="F0E0"/>
      </w:r>
      <w:r>
        <w:rPr>
          <w:rFonts w:hint="eastAsia"/>
          <w:bCs/>
          <w:sz w:val="32"/>
          <w:szCs w:val="32"/>
        </w:rPr>
        <w:t>查询统计</w:t>
      </w:r>
      <w:r>
        <w:rPr>
          <w:bCs/>
          <w:sz w:val="32"/>
          <w:szCs w:val="32"/>
        </w:rPr>
        <w:sym w:font="Wingdings" w:char="F0E0"/>
      </w:r>
      <w:r>
        <w:rPr>
          <w:rFonts w:hint="eastAsia"/>
          <w:bCs/>
          <w:sz w:val="32"/>
          <w:szCs w:val="32"/>
        </w:rPr>
        <w:t>查询学分转换规则”，页面如下图所示。</w:t>
      </w:r>
    </w:p>
    <w:p>
      <w:pPr>
        <w:ind w:firstLine="660"/>
        <w:rPr>
          <w:sz w:val="32"/>
          <w:szCs w:val="32"/>
        </w:rPr>
      </w:pPr>
      <w:bookmarkStart w:id="0" w:name="_GoBack"/>
      <w:r>
        <w:drawing>
          <wp:inline distT="0" distB="0" distL="0" distR="0">
            <wp:extent cx="3838575" cy="157416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38575" cy="157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/>
          <w:sz w:val="32"/>
          <w:szCs w:val="32"/>
        </w:rPr>
        <w:t xml:space="preserve">   </w:t>
      </w:r>
    </w:p>
    <w:p>
      <w:pPr>
        <w:spacing w:before="24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 </w:t>
      </w:r>
      <w:r>
        <w:rPr>
          <w:rFonts w:hint="eastAsia"/>
          <w:b/>
          <w:sz w:val="32"/>
          <w:szCs w:val="32"/>
        </w:rPr>
        <w:t xml:space="preserve"> 二、学分认定和转换操作方法</w:t>
      </w:r>
    </w:p>
    <w:p>
      <w:pPr>
        <w:ind w:firstLine="645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高职扩招教务平台学分认定和转换操作页面路径为：</w:t>
      </w:r>
      <w:r>
        <w:rPr>
          <w:rFonts w:hint="eastAsia"/>
          <w:sz w:val="32"/>
          <w:szCs w:val="32"/>
        </w:rPr>
        <w:t>学籍管理</w:t>
      </w:r>
      <w:r>
        <w:rPr>
          <w:sz w:val="32"/>
          <w:szCs w:val="32"/>
        </w:rPr>
        <w:sym w:font="Wingdings" w:char="F0E0"/>
      </w:r>
      <w:r>
        <w:rPr>
          <w:rFonts w:hint="eastAsia"/>
          <w:sz w:val="32"/>
          <w:szCs w:val="32"/>
        </w:rPr>
        <w:t>学分转换</w:t>
      </w:r>
      <w:r>
        <w:rPr>
          <w:sz w:val="32"/>
          <w:szCs w:val="32"/>
        </w:rPr>
        <w:sym w:font="Wingdings" w:char="F0E0"/>
      </w:r>
      <w:r>
        <w:rPr>
          <w:rFonts w:hint="eastAsia"/>
          <w:sz w:val="32"/>
          <w:szCs w:val="32"/>
        </w:rPr>
        <w:t>初审学分转换。</w:t>
      </w:r>
    </w:p>
    <w:p>
      <w:pPr>
        <w:ind w:firstLine="645"/>
        <w:rPr>
          <w:sz w:val="32"/>
          <w:szCs w:val="32"/>
        </w:rPr>
      </w:pPr>
      <w:r>
        <w:rPr>
          <w:rFonts w:hint="eastAsia"/>
          <w:sz w:val="32"/>
          <w:szCs w:val="32"/>
        </w:rPr>
        <w:t>1.学分认定和转换申请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点击“</w:t>
      </w:r>
      <w:r>
        <w:rPr>
          <w:rFonts w:hint="eastAsia"/>
          <w:b/>
          <w:sz w:val="32"/>
          <w:szCs w:val="32"/>
        </w:rPr>
        <w:t>添加</w:t>
      </w:r>
      <w:r>
        <w:rPr>
          <w:rFonts w:hint="eastAsia"/>
          <w:sz w:val="32"/>
          <w:szCs w:val="32"/>
        </w:rPr>
        <w:t>”，弹出申请学分转换窗口，如下图所示。</w:t>
      </w:r>
    </w:p>
    <w:p>
      <w:pPr>
        <w:ind w:firstLine="420" w:firstLineChars="200"/>
        <w:jc w:val="center"/>
        <w:rPr>
          <w:sz w:val="32"/>
          <w:szCs w:val="32"/>
        </w:rPr>
      </w:pPr>
      <w:r>
        <w:drawing>
          <wp:inline distT="0" distB="0" distL="0" distR="0">
            <wp:extent cx="4949825" cy="205168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01585" cy="2073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 w:firstLineChars="200"/>
        <w:rPr>
          <w:sz w:val="32"/>
          <w:szCs w:val="32"/>
        </w:rPr>
      </w:pPr>
      <w:r>
        <w:drawing>
          <wp:inline distT="0" distB="0" distL="0" distR="0">
            <wp:extent cx="4773930" cy="42227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775978" cy="4224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在上图所示申请学分转换窗口中，首先，录入学号，查询学生信息；其次，根据学习成果和转换细则，在窗口中选择转换类型、成果类型、成果名称。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选择完毕后，若窗口下方的可转换课程列表中出现待选课程，则勾选要转换的课程；若窗口下方的可转换课程列表中无任何课程，则表示该成果当前学期无可转换课程，可在其他学期申请。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最后，</w:t>
      </w:r>
      <w:r>
        <w:rPr>
          <w:rFonts w:hint="eastAsia"/>
          <w:bCs/>
          <w:sz w:val="32"/>
          <w:szCs w:val="32"/>
        </w:rPr>
        <w:t>由校区管理人员上传身份证、学习成果等材料照片，</w:t>
      </w:r>
      <w:r>
        <w:rPr>
          <w:rFonts w:hint="eastAsia"/>
          <w:sz w:val="32"/>
          <w:szCs w:val="32"/>
        </w:rPr>
        <w:t>并提交申请。</w:t>
      </w:r>
    </w:p>
    <w:p>
      <w:pPr>
        <w:ind w:firstLine="320" w:firstLineChars="100"/>
        <w:rPr>
          <w:sz w:val="32"/>
          <w:szCs w:val="32"/>
        </w:rPr>
      </w:pPr>
      <w:r>
        <w:rPr>
          <w:sz w:val="32"/>
          <w:szCs w:val="32"/>
        </w:rPr>
        <w:pict>
          <v:rect id="_x0000_s1041" o:spid="_x0000_s1041" o:spt="1" style="position:absolute;left:0pt;margin-left:339pt;margin-top:172.65pt;height:12.75pt;width:24.75pt;z-index:251660288;mso-width-relative:page;mso-height-relative:page;" filled="f" stroked="t" coordsize="21600,21600">
            <v:path/>
            <v:fill on="f" focussize="0,0"/>
            <v:stroke color="#FF0000"/>
            <v:imagedata o:title=""/>
            <o:lock v:ext="edit"/>
          </v:rect>
        </w:pict>
      </w:r>
      <w:r>
        <w:rPr>
          <w:sz w:val="32"/>
          <w:szCs w:val="32"/>
        </w:rPr>
        <w:pict>
          <v:rect id="_x0000_s1038" o:spid="_x0000_s1038" o:spt="1" style="position:absolute;left:0pt;margin-left:273.75pt;margin-top:141pt;height:12.75pt;width:24.75pt;z-index:251659264;mso-width-relative:page;mso-height-relative:page;" filled="f" stroked="t" coordsize="21600,21600">
            <v:path/>
            <v:fill on="f" focussize="0,0"/>
            <v:stroke color="#FF0000"/>
            <v:imagedata o:title=""/>
            <o:lock v:ext="edit"/>
          </v:rect>
        </w:pict>
      </w:r>
      <w:r>
        <w:rPr>
          <w:rFonts w:hint="eastAsia"/>
          <w:sz w:val="32"/>
          <w:szCs w:val="32"/>
        </w:rPr>
        <w:t>2.初审操作</w:t>
      </w:r>
    </w:p>
    <w:p>
      <w:pPr>
        <w:ind w:firstLine="320" w:firstLineChars="100"/>
        <w:rPr>
          <w:sz w:val="32"/>
          <w:szCs w:val="32"/>
        </w:rPr>
      </w:pPr>
      <w:r>
        <w:rPr>
          <w:rFonts w:hint="eastAsia"/>
          <w:sz w:val="32"/>
          <w:szCs w:val="32"/>
        </w:rPr>
        <w:t>按照路径：学籍管理</w:t>
      </w:r>
      <w:r>
        <w:rPr>
          <w:sz w:val="32"/>
          <w:szCs w:val="32"/>
        </w:rPr>
        <w:sym w:font="Wingdings" w:char="F0E0"/>
      </w:r>
      <w:r>
        <w:rPr>
          <w:rFonts w:hint="eastAsia"/>
          <w:sz w:val="32"/>
          <w:szCs w:val="32"/>
        </w:rPr>
        <w:t>学分转换</w:t>
      </w:r>
      <w:r>
        <w:rPr>
          <w:sz w:val="32"/>
          <w:szCs w:val="32"/>
        </w:rPr>
        <w:sym w:font="Wingdings" w:char="F0E0"/>
      </w:r>
      <w:r>
        <w:rPr>
          <w:rFonts w:hint="eastAsia"/>
          <w:sz w:val="32"/>
          <w:szCs w:val="32"/>
        </w:rPr>
        <w:t>初审学分转换，即可在初审学分转换申请页面看到学分申请列表，如下图所示。</w:t>
      </w:r>
    </w:p>
    <w:p>
      <w:pPr>
        <w:ind w:firstLine="320" w:firstLineChars="100"/>
        <w:rPr>
          <w:sz w:val="32"/>
          <w:szCs w:val="32"/>
        </w:rPr>
      </w:pPr>
      <w:r>
        <w:rPr>
          <w:rFonts w:hint="eastAsia"/>
          <w:sz w:val="32"/>
          <w:szCs w:val="32"/>
        </w:rPr>
        <w:t>各校区在该列表最右侧“操作”列，完成初审操作。</w:t>
      </w:r>
    </w:p>
    <w:p>
      <w:pPr>
        <w:ind w:firstLine="210" w:firstLineChars="100"/>
        <w:rPr>
          <w:sz w:val="32"/>
          <w:szCs w:val="32"/>
        </w:rPr>
      </w:pPr>
      <w:r>
        <w:drawing>
          <wp:inline distT="0" distB="0" distL="0" distR="0">
            <wp:extent cx="5274310" cy="189738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9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/>
        <w:ind w:firstLine="643" w:firstLineChars="200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三、注意事项</w:t>
      </w:r>
    </w:p>
    <w:p>
      <w:pPr>
        <w:rPr>
          <w:rFonts w:ascii="宋体" w:hAnsi="宋体" w:eastAsia="宋体"/>
          <w:color w:val="7030A0"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sz w:val="32"/>
          <w:szCs w:val="32"/>
        </w:rPr>
        <w:t xml:space="preserve">  </w:t>
      </w:r>
      <w:r>
        <w:rPr>
          <w:rFonts w:hint="eastAsia"/>
          <w:sz w:val="32"/>
          <w:szCs w:val="32"/>
        </w:rPr>
        <w:t>1.</w:t>
      </w:r>
      <w:r>
        <w:rPr>
          <w:rFonts w:hint="eastAsia" w:ascii="宋体" w:hAnsi="宋体" w:eastAsia="宋体"/>
          <w:sz w:val="32"/>
          <w:szCs w:val="32"/>
        </w:rPr>
        <w:t>身份证应上传正面与反面照片。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  </w:t>
      </w:r>
      <w:r>
        <w:rPr>
          <w:rFonts w:hint="eastAsia"/>
          <w:sz w:val="32"/>
          <w:szCs w:val="32"/>
        </w:rPr>
        <w:t>2.各类证件照片应调整至正确方向，再上传平台。</w:t>
      </w:r>
    </w:p>
    <w:p>
      <w:pPr>
        <w:ind w:firstLine="660"/>
        <w:rPr>
          <w:sz w:val="32"/>
          <w:szCs w:val="32"/>
        </w:rPr>
      </w:pPr>
      <w:r>
        <w:rPr>
          <w:rFonts w:hint="eastAsia"/>
          <w:sz w:val="32"/>
          <w:szCs w:val="32"/>
        </w:rPr>
        <w:t>3.上传到平台的各类照片均为证件原件彩色照片，上传证件复印件照片视为无效信息。</w:t>
      </w:r>
    </w:p>
    <w:p>
      <w:pPr>
        <w:ind w:firstLine="660"/>
        <w:rPr>
          <w:rFonts w:ascii="宋体" w:hAnsi="宋体" w:eastAsia="宋体"/>
          <w:color w:val="7030A0"/>
          <w:sz w:val="32"/>
          <w:szCs w:val="32"/>
        </w:rPr>
      </w:pPr>
      <w:r>
        <w:rPr>
          <w:rFonts w:hint="eastAsia"/>
          <w:sz w:val="32"/>
          <w:szCs w:val="32"/>
        </w:rPr>
        <w:t>4.上传证件照片，应确保证件内容完整清晰，避免非证件信息背景出现。</w:t>
      </w:r>
    </w:p>
    <w:p>
      <w:pPr>
        <w:ind w:firstLine="660"/>
        <w:rPr>
          <w:sz w:val="32"/>
          <w:szCs w:val="32"/>
        </w:rPr>
      </w:pPr>
      <w:r>
        <w:rPr>
          <w:rFonts w:hint="eastAsia" w:ascii="宋体" w:hAnsi="宋体" w:eastAsia="宋体"/>
          <w:color w:val="7030A0"/>
          <w:sz w:val="32"/>
          <w:szCs w:val="32"/>
        </w:rPr>
        <w:t>5.</w:t>
      </w:r>
      <w:r>
        <w:rPr>
          <w:rFonts w:hint="eastAsia"/>
          <w:sz w:val="32"/>
          <w:szCs w:val="32"/>
        </w:rPr>
        <w:t>证明材料支持 PNG、JPG、PDF格式，每个材料上传大小限 5M以内。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6.转换类型、成果类型、成果名称均为必填项，用以查询出可转换的课程列表；</w:t>
      </w:r>
      <w:r>
        <w:rPr>
          <w:sz w:val="32"/>
          <w:szCs w:val="32"/>
        </w:rPr>
        <w:t xml:space="preserve"> 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7.因申请材料不全未被审核通过者，可在规定时间内补全材料，重新提交申请，并再次制作《高职扩招学生学分转换申请花名册》，签字盖章后报送学分银行管理中心。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2069153"/>
      <w:docPartObj>
        <w:docPartGallery w:val="autotext"/>
      </w:docPartObj>
    </w:sdtPr>
    <w:sdtContent>
      <w:sdt>
        <w:sdtPr>
          <w:id w:val="171357217"/>
          <w:docPartObj>
            <w:docPartGallery w:val="autotext"/>
          </w:docPartObj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51C1"/>
    <w:rsid w:val="000013C1"/>
    <w:rsid w:val="0000308D"/>
    <w:rsid w:val="00014BED"/>
    <w:rsid w:val="00035848"/>
    <w:rsid w:val="00062795"/>
    <w:rsid w:val="00063E1B"/>
    <w:rsid w:val="000B5780"/>
    <w:rsid w:val="000C3617"/>
    <w:rsid w:val="000C525B"/>
    <w:rsid w:val="000D5490"/>
    <w:rsid w:val="000E5F6E"/>
    <w:rsid w:val="00111FED"/>
    <w:rsid w:val="0011671B"/>
    <w:rsid w:val="00132AB4"/>
    <w:rsid w:val="001472FF"/>
    <w:rsid w:val="00153050"/>
    <w:rsid w:val="001A5905"/>
    <w:rsid w:val="001C2371"/>
    <w:rsid w:val="002039C5"/>
    <w:rsid w:val="002172CD"/>
    <w:rsid w:val="00217FEE"/>
    <w:rsid w:val="00225F9E"/>
    <w:rsid w:val="0023073F"/>
    <w:rsid w:val="00241899"/>
    <w:rsid w:val="00262F4D"/>
    <w:rsid w:val="00274996"/>
    <w:rsid w:val="002A44E7"/>
    <w:rsid w:val="002D1F32"/>
    <w:rsid w:val="002F0067"/>
    <w:rsid w:val="002F3549"/>
    <w:rsid w:val="00300AB5"/>
    <w:rsid w:val="0032567C"/>
    <w:rsid w:val="0036199A"/>
    <w:rsid w:val="00374016"/>
    <w:rsid w:val="00384667"/>
    <w:rsid w:val="003D390B"/>
    <w:rsid w:val="003E756C"/>
    <w:rsid w:val="003F7BCC"/>
    <w:rsid w:val="0042017C"/>
    <w:rsid w:val="00431E27"/>
    <w:rsid w:val="004504A3"/>
    <w:rsid w:val="00463B30"/>
    <w:rsid w:val="00474AC3"/>
    <w:rsid w:val="00477EC0"/>
    <w:rsid w:val="00495EAB"/>
    <w:rsid w:val="004A1CF6"/>
    <w:rsid w:val="004E3008"/>
    <w:rsid w:val="00512689"/>
    <w:rsid w:val="00517C90"/>
    <w:rsid w:val="005333AE"/>
    <w:rsid w:val="00540985"/>
    <w:rsid w:val="005837DC"/>
    <w:rsid w:val="005945F6"/>
    <w:rsid w:val="00595CA5"/>
    <w:rsid w:val="005A2FAD"/>
    <w:rsid w:val="005A4900"/>
    <w:rsid w:val="005B515B"/>
    <w:rsid w:val="005C2A57"/>
    <w:rsid w:val="005E7BCC"/>
    <w:rsid w:val="005F14DA"/>
    <w:rsid w:val="006269D1"/>
    <w:rsid w:val="006307EB"/>
    <w:rsid w:val="00633B98"/>
    <w:rsid w:val="0063420A"/>
    <w:rsid w:val="00636EDD"/>
    <w:rsid w:val="00681835"/>
    <w:rsid w:val="006B64C3"/>
    <w:rsid w:val="00702097"/>
    <w:rsid w:val="00712047"/>
    <w:rsid w:val="00735659"/>
    <w:rsid w:val="0076658C"/>
    <w:rsid w:val="00786A09"/>
    <w:rsid w:val="007C5B3E"/>
    <w:rsid w:val="0080587C"/>
    <w:rsid w:val="00807A79"/>
    <w:rsid w:val="008272E4"/>
    <w:rsid w:val="008404EF"/>
    <w:rsid w:val="00842554"/>
    <w:rsid w:val="00854666"/>
    <w:rsid w:val="008B04A2"/>
    <w:rsid w:val="008D23B1"/>
    <w:rsid w:val="008D25AE"/>
    <w:rsid w:val="008E67AC"/>
    <w:rsid w:val="008F055A"/>
    <w:rsid w:val="009114C5"/>
    <w:rsid w:val="00916F17"/>
    <w:rsid w:val="0092184A"/>
    <w:rsid w:val="00924A8C"/>
    <w:rsid w:val="0093678E"/>
    <w:rsid w:val="00941918"/>
    <w:rsid w:val="00946836"/>
    <w:rsid w:val="009A7413"/>
    <w:rsid w:val="009B1ABE"/>
    <w:rsid w:val="00A01B6E"/>
    <w:rsid w:val="00A044E7"/>
    <w:rsid w:val="00A128B5"/>
    <w:rsid w:val="00A17809"/>
    <w:rsid w:val="00A21021"/>
    <w:rsid w:val="00A764B7"/>
    <w:rsid w:val="00A929FE"/>
    <w:rsid w:val="00AC39E1"/>
    <w:rsid w:val="00AF1592"/>
    <w:rsid w:val="00B21C74"/>
    <w:rsid w:val="00B2619E"/>
    <w:rsid w:val="00B27A32"/>
    <w:rsid w:val="00B35451"/>
    <w:rsid w:val="00B4007D"/>
    <w:rsid w:val="00B6201D"/>
    <w:rsid w:val="00BC71A9"/>
    <w:rsid w:val="00BD5236"/>
    <w:rsid w:val="00C15C76"/>
    <w:rsid w:val="00C15DDB"/>
    <w:rsid w:val="00C17E24"/>
    <w:rsid w:val="00C46DE6"/>
    <w:rsid w:val="00CC4CBD"/>
    <w:rsid w:val="00CF4AD8"/>
    <w:rsid w:val="00D139AF"/>
    <w:rsid w:val="00D541FC"/>
    <w:rsid w:val="00D65FDC"/>
    <w:rsid w:val="00D72221"/>
    <w:rsid w:val="00DA1B4A"/>
    <w:rsid w:val="00DB5508"/>
    <w:rsid w:val="00DB5AEC"/>
    <w:rsid w:val="00DD0858"/>
    <w:rsid w:val="00E058E1"/>
    <w:rsid w:val="00E25132"/>
    <w:rsid w:val="00E425AD"/>
    <w:rsid w:val="00EC344A"/>
    <w:rsid w:val="00EE2A0B"/>
    <w:rsid w:val="00F06712"/>
    <w:rsid w:val="00F157AC"/>
    <w:rsid w:val="00F22CA9"/>
    <w:rsid w:val="00F42DDF"/>
    <w:rsid w:val="00F451C1"/>
    <w:rsid w:val="00F50F11"/>
    <w:rsid w:val="00FA1DBA"/>
    <w:rsid w:val="00FC02C0"/>
    <w:rsid w:val="00FE1A2A"/>
    <w:rsid w:val="00FE2C01"/>
    <w:rsid w:val="266201B6"/>
    <w:rsid w:val="54A24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semiHidden/>
    <w:unhideWhenUsed/>
    <w:uiPriority w:val="99"/>
    <w:rPr>
      <w:color w:val="800080"/>
      <w:u w:val="single"/>
    </w:rPr>
  </w:style>
  <w:style w:type="character" w:styleId="8">
    <w:name w:val="Hyperlink"/>
    <w:basedOn w:val="6"/>
    <w:unhideWhenUsed/>
    <w:uiPriority w:val="99"/>
    <w:rPr>
      <w:color w:val="0000FF" w:themeColor="hyperlink"/>
      <w:u w:val="single"/>
    </w:rPr>
  </w:style>
  <w:style w:type="character" w:customStyle="1" w:styleId="9">
    <w:name w:val="页眉 字符"/>
    <w:basedOn w:val="6"/>
    <w:link w:val="4"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1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12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41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hn</Company>
  <Pages>4</Pages>
  <Words>138</Words>
  <Characters>787</Characters>
  <Lines>6</Lines>
  <Paragraphs>1</Paragraphs>
  <TotalTime>801</TotalTime>
  <ScaleCrop>false</ScaleCrop>
  <LinksUpToDate>false</LinksUpToDate>
  <CharactersWithSpaces>924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2020-11-12T02:37:00Z</dcterms:created>
  <dc:creator>hndd</dc:creator>
  <cp:lastModifiedBy>变变变</cp:lastModifiedBy>
  <dcterms:modified xsi:type="dcterms:W3CDTF">2022-03-04T07:20:17Z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FB874B7DA7314B199EAEED901EAB8288</vt:lpwstr>
  </property>
</Properties>
</file>