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61C92E">
      <w:pPr>
        <w:spacing w:before="225" w:beforeLines="50" w:after="225" w:afterLines="50" w:line="900" w:lineRule="exact"/>
        <w:jc w:val="center"/>
        <w:rPr>
          <w:rFonts w:hint="eastAsia" w:ascii="方正小标宋简体" w:eastAsia="方正小标宋简体"/>
          <w:color w:val="FF0000"/>
          <w:spacing w:val="34"/>
          <w:sz w:val="66"/>
          <w:szCs w:val="66"/>
        </w:rPr>
      </w:pPr>
      <w:r>
        <w:rPr>
          <w:rFonts w:ascii="方正小标宋简体" w:eastAsia="方正小标宋简体"/>
          <w:color w:val="FF0000"/>
          <w:sz w:val="66"/>
          <w:szCs w:val="66"/>
        </w:rPr>
        <mc:AlternateContent>
          <mc:Choice Requires="wps">
            <w:drawing>
              <wp:anchor distT="0" distB="0" distL="114300" distR="114300" simplePos="0" relativeHeight="251659264" behindDoc="0" locked="0" layoutInCell="1" allowOverlap="1">
                <wp:simplePos x="0" y="0"/>
                <wp:positionH relativeFrom="column">
                  <wp:posOffset>-401320</wp:posOffset>
                </wp:positionH>
                <wp:positionV relativeFrom="page">
                  <wp:posOffset>1910080</wp:posOffset>
                </wp:positionV>
                <wp:extent cx="6168390" cy="0"/>
                <wp:effectExtent l="0" t="25400" r="3810" b="31750"/>
                <wp:wrapNone/>
                <wp:docPr id="4" name="直接连接符 4"/>
                <wp:cNvGraphicFramePr/>
                <a:graphic xmlns:a="http://schemas.openxmlformats.org/drawingml/2006/main">
                  <a:graphicData uri="http://schemas.microsoft.com/office/word/2010/wordprocessingShape">
                    <wps:wsp>
                      <wps:cNvCnPr/>
                      <wps:spPr>
                        <a:xfrm>
                          <a:off x="0" y="0"/>
                          <a:ext cx="6168390" cy="0"/>
                        </a:xfrm>
                        <a:prstGeom prst="line">
                          <a:avLst/>
                        </a:prstGeom>
                        <a:noFill/>
                        <a:ln w="50800" cap="flat" cmpd="thickThin" algn="ctr">
                          <a:solidFill>
                            <a:srgbClr val="FF0000"/>
                          </a:solidFill>
                          <a:prstDash val="solid"/>
                          <a:miter lim="800000"/>
                        </a:ln>
                        <a:effectLst/>
                      </wps:spPr>
                      <wps:bodyPr/>
                    </wps:wsp>
                  </a:graphicData>
                </a:graphic>
              </wp:anchor>
            </w:drawing>
          </mc:Choice>
          <mc:Fallback>
            <w:pict>
              <v:line id="_x0000_s1026" o:spid="_x0000_s1026" o:spt="20" style="position:absolute;left:0pt;margin-left:-31.6pt;margin-top:150.4pt;height:0pt;width:485.7pt;mso-position-vertical-relative:page;z-index:251659264;mso-width-relative:page;mso-height-relative:page;" filled="f" stroked="t" coordsize="21600,21600" o:gfxdata="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FdyHx9QAAAALAQAADwAAAAAAAAABACAAAAAi&#10;AAAAZHJzL2Rvd25yZXYueG1sUEsBAhQAFAAAAAgAh07iQKu0OvPVAQAAeAMAAA4AAAAAAAAAAQAg&#10;AAAAIwEAAGRycy9lMm9Eb2MueG1sUEsFBgAAAAAGAAYAWQEAAGoFAAAAAAAA&#10;">
                <v:fill on="f" focussize="0,0"/>
                <v:stroke weight="4pt" color="#FF0000" linestyle="thickThin" miterlimit="8" joinstyle="miter"/>
                <v:imagedata o:title=""/>
                <o:lock v:ext="edit" aspectratio="f"/>
              </v:line>
            </w:pict>
          </mc:Fallback>
        </mc:AlternateContent>
      </w:r>
      <w:r>
        <w:rPr>
          <w:rFonts w:hint="eastAsia" w:ascii="方正小标宋简体" w:eastAsia="方正小标宋简体"/>
          <w:color w:val="FF0000"/>
          <w:spacing w:val="34"/>
          <w:w w:val="87"/>
          <w:sz w:val="60"/>
          <w:szCs w:val="60"/>
        </w:rPr>
        <w:t>郑州信息科技职业学院处室文件</w:t>
      </w:r>
    </w:p>
    <w:p w14:paraId="380DE153">
      <w:pPr>
        <w:spacing w:line="240" w:lineRule="exact"/>
        <w:jc w:val="center"/>
        <w:rPr>
          <w:rFonts w:ascii="方正小标宋简体" w:eastAsia="方正小标宋简体"/>
          <w:color w:val="FF0000"/>
          <w:sz w:val="66"/>
          <w:szCs w:val="66"/>
        </w:rPr>
      </w:pPr>
    </w:p>
    <w:p w14:paraId="04EDE240">
      <w:pPr>
        <w:spacing w:line="579" w:lineRule="exact"/>
        <w:jc w:val="right"/>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教函</w:t>
      </w:r>
      <w:r>
        <w:rPr>
          <w:rFonts w:hint="eastAsia" w:ascii="仿宋_GB2312" w:hAnsi="Times New Roman" w:eastAsia="仿宋_GB2312"/>
          <w:sz w:val="32"/>
        </w:rPr>
        <w:t>〔202</w:t>
      </w:r>
      <w:r>
        <w:rPr>
          <w:rFonts w:hint="eastAsia" w:ascii="仿宋_GB2312" w:hAnsi="Times New Roman" w:eastAsia="仿宋_GB2312"/>
          <w:sz w:val="32"/>
          <w:lang w:val="en-US" w:eastAsia="zh-CN"/>
        </w:rPr>
        <w:t>6</w:t>
      </w:r>
      <w:r>
        <w:rPr>
          <w:rFonts w:hint="eastAsia" w:ascii="仿宋_GB2312" w:hAnsi="Times New Roman" w:eastAsia="仿宋_GB2312"/>
          <w:sz w:val="32"/>
        </w:rPr>
        <w:t>〕</w:t>
      </w:r>
      <w:r>
        <w:rPr>
          <w:rFonts w:hint="eastAsia" w:ascii="仿宋_GB2312" w:hAnsi="Times New Roman" w:eastAsia="仿宋_GB2312"/>
          <w:sz w:val="32"/>
          <w:lang w:val="en-US" w:eastAsia="zh-CN"/>
        </w:rPr>
        <w:t>4</w:t>
      </w:r>
      <w:r>
        <w:rPr>
          <w:rFonts w:hint="eastAsia" w:ascii="仿宋_GB2312" w:hAnsi="仿宋_GB2312" w:eastAsia="仿宋_GB2312" w:cs="仿宋_GB2312"/>
          <w:sz w:val="32"/>
          <w:szCs w:val="32"/>
        </w:rPr>
        <w:t>号</w:t>
      </w:r>
    </w:p>
    <w:p w14:paraId="0308BD4A">
      <w:pPr>
        <w:ind w:left="130" w:leftChars="62"/>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关于高职扩招202</w:t>
      </w: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春</w:t>
      </w:r>
      <w:r>
        <w:rPr>
          <w:rFonts w:hint="eastAsia" w:ascii="方正小标宋简体" w:hAnsi="方正小标宋简体" w:eastAsia="方正小标宋简体" w:cs="方正小标宋简体"/>
          <w:sz w:val="44"/>
          <w:szCs w:val="44"/>
        </w:rPr>
        <w:t>季学期</w:t>
      </w:r>
    </w:p>
    <w:p w14:paraId="3AD5C327">
      <w:pPr>
        <w:ind w:left="130" w:leftChars="62"/>
        <w:jc w:val="center"/>
        <w:rPr>
          <w:rFonts w:hint="eastAsia" w:ascii="仿宋" w:hAnsi="仿宋" w:eastAsia="仿宋" w:cs="宋体"/>
          <w:sz w:val="32"/>
          <w:szCs w:val="32"/>
        </w:rPr>
      </w:pPr>
      <w:r>
        <w:rPr>
          <w:rFonts w:hint="eastAsia" w:ascii="方正小标宋简体" w:hAnsi="方正小标宋简体" w:eastAsia="方正小标宋简体" w:cs="方正小标宋简体"/>
          <w:sz w:val="44"/>
          <w:szCs w:val="44"/>
        </w:rPr>
        <w:t>教学及相关工作安排的</w:t>
      </w:r>
      <w:r>
        <w:rPr>
          <w:rFonts w:hint="eastAsia" w:ascii="方正小标宋简体" w:hAnsi="方正小标宋简体" w:eastAsia="方正小标宋简体" w:cs="方正小标宋简体"/>
          <w:sz w:val="44"/>
          <w:szCs w:val="44"/>
          <w:lang w:val="en-US" w:eastAsia="zh-CN"/>
        </w:rPr>
        <w:t>通知</w:t>
      </w:r>
    </w:p>
    <w:p w14:paraId="55752D65">
      <w:pPr>
        <w:ind w:firstLine="723" w:firstLineChars="200"/>
        <w:jc w:val="left"/>
        <w:rPr>
          <w:rFonts w:hint="eastAsia" w:ascii="黑体" w:hAnsi="黑体" w:eastAsia="黑体" w:cs="黑体"/>
          <w:b/>
          <w:bCs/>
          <w:sz w:val="36"/>
          <w:szCs w:val="36"/>
          <w:lang w:val="en-US"/>
        </w:rPr>
      </w:pPr>
      <w:r>
        <w:rPr>
          <w:rFonts w:hint="eastAsia" w:ascii="黑体" w:hAnsi="黑体" w:eastAsia="黑体" w:cs="黑体"/>
          <w:b/>
          <w:bCs/>
          <w:sz w:val="36"/>
          <w:szCs w:val="36"/>
          <w:lang w:val="en-US"/>
        </w:rPr>
        <w:t>一、教学对象</w:t>
      </w:r>
    </w:p>
    <w:p w14:paraId="5EE85ECB">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高职扩招2020、2021级学生。</w:t>
      </w:r>
    </w:p>
    <w:p w14:paraId="66F16A57">
      <w:pPr>
        <w:ind w:firstLine="723" w:firstLineChars="200"/>
        <w:jc w:val="left"/>
        <w:rPr>
          <w:rFonts w:hint="eastAsia" w:ascii="黑体" w:hAnsi="黑体" w:eastAsia="黑体" w:cs="黑体"/>
          <w:b/>
          <w:bCs/>
          <w:sz w:val="36"/>
          <w:szCs w:val="36"/>
          <w:lang w:val="en-US"/>
        </w:rPr>
      </w:pPr>
      <w:r>
        <w:rPr>
          <w:rFonts w:hint="eastAsia" w:ascii="黑体" w:hAnsi="黑体" w:eastAsia="黑体" w:cs="黑体"/>
          <w:b/>
          <w:bCs/>
          <w:sz w:val="36"/>
          <w:szCs w:val="36"/>
          <w:lang w:val="en-US" w:eastAsia="zh-CN"/>
        </w:rPr>
        <w:t>二、</w:t>
      </w:r>
      <w:r>
        <w:rPr>
          <w:rFonts w:hint="eastAsia" w:ascii="黑体" w:hAnsi="黑体" w:eastAsia="黑体" w:cs="黑体"/>
          <w:b/>
          <w:bCs/>
          <w:sz w:val="36"/>
          <w:szCs w:val="36"/>
          <w:lang w:val="en-US"/>
        </w:rPr>
        <w:t>课程教学</w:t>
      </w:r>
    </w:p>
    <w:p w14:paraId="2AF5CCFC">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（一）课程教学内容</w:t>
      </w:r>
    </w:p>
    <w:p w14:paraId="6243A68F">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按照《郑州信息科技职业学院2020级高职扩招人才培养方案》《郑州信息科技职业学院202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级高职扩招人才培养方案》要求，</w:t>
      </w:r>
      <w:r>
        <w:rPr>
          <w:rFonts w:hint="eastAsia" w:ascii="仿宋_GB2312" w:hAnsi="仿宋_GB2312" w:eastAsia="仿宋_GB2312" w:cs="仿宋_GB2312"/>
          <w:sz w:val="32"/>
          <w:szCs w:val="32"/>
          <w:lang w:val="en-US" w:eastAsia="zh-CN"/>
        </w:rPr>
        <w:t>2020级、2021级</w:t>
      </w:r>
      <w:r>
        <w:rPr>
          <w:rFonts w:hint="eastAsia" w:ascii="仿宋_GB2312" w:hAnsi="仿宋_GB2312" w:eastAsia="仿宋_GB2312" w:cs="仿宋_GB2312"/>
          <w:sz w:val="32"/>
          <w:szCs w:val="32"/>
          <w:lang w:val="en-US"/>
        </w:rPr>
        <w:t>学生</w:t>
      </w:r>
      <w:r>
        <w:rPr>
          <w:rFonts w:hint="eastAsia" w:ascii="仿宋_GB2312" w:hAnsi="仿宋_GB2312" w:eastAsia="仿宋_GB2312" w:cs="仿宋_GB2312"/>
          <w:sz w:val="32"/>
          <w:szCs w:val="32"/>
          <w:lang w:val="en-US" w:eastAsia="zh-CN"/>
        </w:rPr>
        <w:t>尚</w:t>
      </w:r>
      <w:r>
        <w:rPr>
          <w:rFonts w:hint="eastAsia" w:ascii="仿宋_GB2312" w:hAnsi="仿宋_GB2312" w:eastAsia="仿宋_GB2312" w:cs="仿宋_GB2312"/>
          <w:sz w:val="32"/>
          <w:szCs w:val="32"/>
          <w:lang w:val="en-US"/>
        </w:rPr>
        <w:t>未取得学分课程。</w:t>
      </w:r>
    </w:p>
    <w:p w14:paraId="33303D00">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（二）教学要求</w:t>
      </w:r>
    </w:p>
    <w:p w14:paraId="34054D49">
      <w:p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1.教学安排。</w:t>
      </w:r>
      <w:r>
        <w:rPr>
          <w:rFonts w:hint="eastAsia" w:ascii="仿宋_GB2312" w:hAnsi="仿宋_GB2312" w:eastAsia="仿宋_GB2312" w:cs="仿宋_GB2312"/>
          <w:sz w:val="32"/>
          <w:szCs w:val="32"/>
          <w:lang w:val="en-US"/>
        </w:rPr>
        <w:t>各学院负责按照人才培养方案落实教学任务，安排专任教师授课。</w:t>
      </w:r>
      <w:r>
        <w:rPr>
          <w:rFonts w:hint="eastAsia" w:ascii="仿宋_GB2312" w:hAnsi="仿宋_GB2312" w:eastAsia="仿宋_GB2312" w:cs="仿宋_GB2312"/>
          <w:b w:val="0"/>
          <w:bCs w:val="0"/>
          <w:sz w:val="32"/>
          <w:szCs w:val="32"/>
          <w:lang w:val="en-US" w:eastAsia="zh-CN"/>
        </w:rPr>
        <w:t>课程责任教师负责归档和发布课程。</w:t>
      </w:r>
    </w:p>
    <w:p w14:paraId="1A502626">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按照《关于切实做好高职扩招集中教学与实践教学工作的实施方案》（教函〔2026〕3号）文件要求，确保集中教学与实践教学各环节有序衔接、高效推进，全力保障人才培养实效精准落地。</w:t>
      </w:r>
    </w:p>
    <w:p w14:paraId="756C4202">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学院</w:t>
      </w:r>
      <w:r>
        <w:rPr>
          <w:rFonts w:hint="eastAsia" w:ascii="仿宋_GB2312" w:hAnsi="仿宋_GB2312" w:eastAsia="仿宋_GB2312" w:cs="仿宋_GB2312"/>
          <w:sz w:val="32"/>
          <w:szCs w:val="32"/>
          <w:lang w:val="en-US"/>
        </w:rPr>
        <w:t>选课。</w:t>
      </w:r>
      <w:r>
        <w:rPr>
          <w:rFonts w:hint="eastAsia" w:ascii="仿宋_GB2312" w:hAnsi="仿宋_GB2312" w:eastAsia="仿宋_GB2312" w:cs="仿宋_GB2312"/>
          <w:b/>
          <w:bCs/>
          <w:sz w:val="32"/>
          <w:szCs w:val="32"/>
          <w:lang w:val="en-US"/>
        </w:rPr>
        <w:t>各</w:t>
      </w:r>
      <w:r>
        <w:rPr>
          <w:rFonts w:hint="eastAsia" w:ascii="仿宋_GB2312" w:hAnsi="仿宋_GB2312" w:eastAsia="仿宋_GB2312" w:cs="仿宋_GB2312"/>
          <w:b/>
          <w:bCs/>
          <w:sz w:val="32"/>
          <w:szCs w:val="32"/>
          <w:lang w:val="en-US" w:eastAsia="zh-CN"/>
        </w:rPr>
        <w:t>学院</w:t>
      </w:r>
      <w:r>
        <w:rPr>
          <w:rFonts w:hint="eastAsia" w:ascii="仿宋_GB2312" w:hAnsi="仿宋_GB2312" w:eastAsia="仿宋_GB2312" w:cs="仿宋_GB2312"/>
          <w:b/>
          <w:bCs/>
          <w:sz w:val="32"/>
          <w:szCs w:val="32"/>
          <w:lang w:val="en-US"/>
        </w:rPr>
        <w:t>要</w:t>
      </w:r>
      <w:r>
        <w:rPr>
          <w:rFonts w:hint="eastAsia" w:ascii="仿宋_GB2312" w:hAnsi="仿宋_GB2312" w:eastAsia="仿宋_GB2312" w:cs="仿宋_GB2312"/>
          <w:b/>
          <w:bCs/>
          <w:sz w:val="32"/>
          <w:szCs w:val="32"/>
          <w:lang w:val="en-US" w:eastAsia="zh-CN"/>
        </w:rPr>
        <w:t>确认每个学生的学习情况</w:t>
      </w:r>
      <w:r>
        <w:rPr>
          <w:rFonts w:hint="eastAsia" w:ascii="仿宋_GB2312" w:hAnsi="仿宋_GB2312" w:eastAsia="仿宋_GB2312" w:cs="仿宋_GB2312"/>
          <w:sz w:val="32"/>
          <w:szCs w:val="32"/>
          <w:lang w:val="en-US"/>
        </w:rPr>
        <w:t>，使用高职扩招教务管理系统，</w:t>
      </w:r>
      <w:r>
        <w:rPr>
          <w:rFonts w:hint="eastAsia" w:ascii="仿宋_GB2312" w:hAnsi="仿宋_GB2312" w:eastAsia="仿宋_GB2312" w:cs="仿宋_GB2312"/>
          <w:sz w:val="32"/>
          <w:szCs w:val="32"/>
          <w:lang w:val="en-US" w:eastAsia="zh-CN"/>
        </w:rPr>
        <w:t>为未完成</w:t>
      </w:r>
      <w:r>
        <w:rPr>
          <w:rFonts w:hint="eastAsia" w:ascii="仿宋_GB2312" w:hAnsi="仿宋_GB2312" w:eastAsia="仿宋_GB2312" w:cs="仿宋_GB2312"/>
          <w:sz w:val="32"/>
          <w:szCs w:val="32"/>
          <w:lang w:val="en-US"/>
        </w:rPr>
        <w:t>课程学习任务</w:t>
      </w:r>
      <w:r>
        <w:rPr>
          <w:rFonts w:hint="eastAsia" w:ascii="仿宋_GB2312" w:hAnsi="仿宋_GB2312" w:eastAsia="仿宋_GB2312" w:cs="仿宋_GB2312"/>
          <w:sz w:val="32"/>
          <w:szCs w:val="32"/>
          <w:lang w:val="en-US" w:eastAsia="zh-CN"/>
        </w:rPr>
        <w:t>的学生选课</w:t>
      </w:r>
      <w:r>
        <w:rPr>
          <w:rFonts w:hint="eastAsia" w:ascii="仿宋_GB2312" w:hAnsi="仿宋_GB2312" w:eastAsia="仿宋_GB2312" w:cs="仿宋_GB2312"/>
          <w:sz w:val="32"/>
          <w:szCs w:val="32"/>
          <w:lang w:val="en-US"/>
        </w:rPr>
        <w:t>。拟退学不再学习学生要按规定办理退学手续。</w:t>
      </w:r>
      <w:r>
        <w:rPr>
          <w:rFonts w:hint="eastAsia" w:ascii="仿宋_GB2312" w:hAnsi="仿宋_GB2312" w:eastAsia="仿宋_GB2312" w:cs="仿宋_GB2312"/>
          <w:sz w:val="32"/>
          <w:szCs w:val="32"/>
          <w:lang w:val="en-US" w:eastAsia="zh-CN"/>
        </w:rPr>
        <w:t>选课时间为3月6日至3月13日，逾期将不予受理变更。</w:t>
      </w:r>
    </w:p>
    <w:p w14:paraId="0508DA9B">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.平台学习。学生从</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lang w:val="en-US"/>
        </w:rPr>
        <w:t>日起开始登录</w:t>
      </w:r>
      <w:r>
        <w:rPr>
          <w:rFonts w:hint="eastAsia" w:ascii="仿宋_GB2312" w:hAnsi="仿宋_GB2312" w:eastAsia="仿宋_GB2312" w:cs="仿宋_GB2312"/>
          <w:sz w:val="32"/>
          <w:szCs w:val="32"/>
          <w:lang w:val="en-US" w:eastAsia="zh-CN"/>
        </w:rPr>
        <w:t>云上河开</w:t>
      </w:r>
      <w:r>
        <w:rPr>
          <w:rFonts w:hint="eastAsia" w:ascii="仿宋_GB2312" w:hAnsi="仿宋_GB2312" w:eastAsia="仿宋_GB2312" w:cs="仿宋_GB2312"/>
          <w:sz w:val="32"/>
          <w:szCs w:val="32"/>
          <w:lang w:val="en-US"/>
        </w:rPr>
        <w:t>教学平台学习，需要在规定的时间内完成平台上课程学习任务</w:t>
      </w:r>
      <w:r>
        <w:rPr>
          <w:rFonts w:hint="eastAsia" w:ascii="仿宋_GB2312" w:hAnsi="仿宋_GB2312" w:eastAsia="仿宋_GB2312" w:cs="仿宋_GB2312"/>
          <w:sz w:val="32"/>
          <w:szCs w:val="32"/>
          <w:lang w:val="en-US" w:eastAsia="zh-CN"/>
        </w:rPr>
        <w:t>及期末考试</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截止时间为5月13日。</w:t>
      </w:r>
    </w:p>
    <w:p w14:paraId="3DC16D93">
      <w:pPr>
        <w:ind w:firstLine="723" w:firstLineChars="200"/>
        <w:jc w:val="left"/>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三、考试考核</w:t>
      </w:r>
    </w:p>
    <w:p w14:paraId="6EFBF2A8">
      <w:pPr>
        <w:spacing w:line="360" w:lineRule="auto"/>
        <w:ind w:firstLine="643" w:firstLineChars="200"/>
        <w:rPr>
          <w:rFonts w:hint="eastAsia" w:ascii="仿宋_GB2312" w:hAnsi="仿宋_GB2312" w:eastAsia="仿宋_GB2312" w:cs="仿宋_GB2312"/>
          <w:b/>
          <w:bCs/>
          <w:sz w:val="32"/>
          <w:szCs w:val="32"/>
          <w:lang w:val="en-US"/>
        </w:rPr>
      </w:pPr>
      <w:r>
        <w:rPr>
          <w:rFonts w:hint="eastAsia" w:ascii="仿宋_GB2312" w:hAnsi="仿宋_GB2312" w:eastAsia="仿宋_GB2312" w:cs="仿宋_GB2312"/>
          <w:b/>
          <w:bCs/>
          <w:sz w:val="32"/>
          <w:szCs w:val="32"/>
          <w:lang w:val="en-US"/>
        </w:rPr>
        <w:t>（一）考试与考核</w:t>
      </w:r>
    </w:p>
    <w:p w14:paraId="2B00759D">
      <w:pPr>
        <w:spacing w:line="360" w:lineRule="auto"/>
        <w:ind w:firstLine="640" w:firstLineChars="200"/>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sz w:val="32"/>
          <w:szCs w:val="32"/>
          <w:lang w:val="en-US" w:eastAsia="zh-CN"/>
        </w:rPr>
        <w:t>所有课程均采用线上考核</w:t>
      </w:r>
      <w:r>
        <w:rPr>
          <w:rFonts w:hint="eastAsia" w:ascii="仿宋_GB2312" w:hAnsi="仿宋_GB2312" w:eastAsia="仿宋_GB2312" w:cs="仿宋_GB2312"/>
          <w:b w:val="0"/>
          <w:bCs w:val="0"/>
          <w:sz w:val="32"/>
          <w:szCs w:val="32"/>
          <w:lang w:val="en-US"/>
        </w:rPr>
        <w:t>的形式进行</w:t>
      </w:r>
      <w:r>
        <w:rPr>
          <w:rFonts w:hint="eastAsia" w:ascii="仿宋_GB2312" w:hAnsi="仿宋_GB2312" w:eastAsia="仿宋_GB2312" w:cs="仿宋_GB2312"/>
          <w:b w:val="0"/>
          <w:bCs w:val="0"/>
          <w:sz w:val="32"/>
          <w:szCs w:val="32"/>
          <w:lang w:val="en-US" w:eastAsia="zh-CN"/>
        </w:rPr>
        <w:t>，与“2025-03”版本考试与考核形式要求保持一致，不做改变</w:t>
      </w:r>
      <w:r>
        <w:rPr>
          <w:rFonts w:hint="eastAsia" w:ascii="仿宋_GB2312" w:hAnsi="仿宋_GB2312" w:eastAsia="仿宋_GB2312" w:cs="仿宋_GB2312"/>
          <w:b w:val="0"/>
          <w:bCs w:val="0"/>
          <w:color w:val="000000"/>
          <w:kern w:val="0"/>
          <w:sz w:val="32"/>
          <w:szCs w:val="32"/>
          <w:lang w:val="en-US" w:eastAsia="zh-CN"/>
        </w:rPr>
        <w:t>。</w:t>
      </w:r>
      <w:r>
        <w:rPr>
          <w:rFonts w:hint="eastAsia" w:ascii="仿宋_GB2312" w:hAnsi="仿宋_GB2312" w:eastAsia="仿宋_GB2312" w:cs="仿宋_GB2312"/>
          <w:b/>
          <w:bCs/>
          <w:sz w:val="32"/>
          <w:szCs w:val="32"/>
          <w:lang w:val="en-US" w:eastAsia="zh-CN"/>
        </w:rPr>
        <w:t>各学院切实督促学生完成课程学习任务及期末考试</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val="0"/>
          <w:color w:val="000000"/>
          <w:kern w:val="0"/>
          <w:sz w:val="32"/>
          <w:szCs w:val="32"/>
          <w:highlight w:val="none"/>
          <w:lang w:val="en-US" w:eastAsia="zh-CN"/>
        </w:rPr>
        <w:t>综合成绩60分及以上即为课程合格。</w:t>
      </w:r>
    </w:p>
    <w:p w14:paraId="780C0FB5">
      <w:pPr>
        <w:spacing w:line="360" w:lineRule="auto"/>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rPr>
        <w:t>（二）学分转换</w:t>
      </w:r>
    </w:p>
    <w:p w14:paraId="470A87D1">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申请免修免考的学生需按照相应专业人才培养方案要求提交相关学习成果进行学分转换。</w:t>
      </w:r>
      <w:r>
        <w:rPr>
          <w:rFonts w:hint="eastAsia" w:ascii="仿宋_GB2312" w:hAnsi="仿宋_GB2312" w:eastAsia="仿宋_GB2312" w:cs="仿宋_GB2312"/>
          <w:sz w:val="32"/>
          <w:szCs w:val="32"/>
          <w:lang w:val="en-US" w:eastAsia="zh-CN"/>
        </w:rPr>
        <w:t>各学院</w:t>
      </w:r>
      <w:r>
        <w:rPr>
          <w:rFonts w:hint="eastAsia" w:ascii="仿宋_GB2312" w:hAnsi="仿宋_GB2312" w:eastAsia="仿宋_GB2312" w:cs="仿宋_GB2312"/>
          <w:sz w:val="32"/>
          <w:szCs w:val="32"/>
          <w:lang w:val="en-US"/>
        </w:rPr>
        <w:t>根据高职扩招学分认定和转换实施方案要求，按照各专业转换细则，组织指导学生提交学习成果证明相关材料，并进行初审。初审完毕后，将相关材料报送学分银行管理中心进行学习成果认定，并转换学分。学分银行管理中心将转换后的成绩报送教务处进行</w:t>
      </w:r>
      <w:r>
        <w:rPr>
          <w:rFonts w:hint="eastAsia" w:ascii="仿宋_GB2312" w:hAnsi="仿宋_GB2312" w:eastAsia="仿宋_GB2312" w:cs="仿宋_GB2312"/>
          <w:sz w:val="32"/>
          <w:szCs w:val="32"/>
          <w:lang w:val="en-US" w:eastAsia="zh-CN"/>
        </w:rPr>
        <w:t>最终审核</w:t>
      </w:r>
      <w:r>
        <w:rPr>
          <w:rFonts w:hint="eastAsia" w:ascii="仿宋_GB2312" w:hAnsi="仿宋_GB2312" w:eastAsia="仿宋_GB2312" w:cs="仿宋_GB2312"/>
          <w:sz w:val="32"/>
          <w:szCs w:val="32"/>
          <w:lang w:val="en-US"/>
        </w:rPr>
        <w:t>。</w:t>
      </w:r>
    </w:p>
    <w:p w14:paraId="6BCB8B0F">
      <w:pPr>
        <w:ind w:firstLine="723" w:firstLineChars="200"/>
        <w:jc w:val="left"/>
        <w:rPr>
          <w:rFonts w:hint="default" w:ascii="黑体" w:hAnsi="黑体" w:eastAsia="黑体" w:cs="黑体"/>
          <w:b/>
          <w:bCs/>
          <w:sz w:val="36"/>
          <w:szCs w:val="36"/>
          <w:lang w:val="en-US" w:eastAsia="zh-CN"/>
        </w:rPr>
      </w:pPr>
      <w:r>
        <w:rPr>
          <w:rFonts w:hint="eastAsia" w:ascii="黑体" w:hAnsi="黑体" w:eastAsia="黑体" w:cs="黑体"/>
          <w:b/>
          <w:bCs/>
          <w:sz w:val="36"/>
          <w:szCs w:val="36"/>
          <w:lang w:val="en-US" w:eastAsia="zh-CN"/>
        </w:rPr>
        <w:t>四、毕业预审</w:t>
      </w:r>
    </w:p>
    <w:p w14:paraId="3FB39237">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对于拟申请于202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val="en-US"/>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rPr>
        <w:t>月份毕业的</w:t>
      </w:r>
      <w:r>
        <w:rPr>
          <w:rFonts w:hint="eastAsia" w:ascii="仿宋_GB2312" w:hAnsi="仿宋_GB2312" w:eastAsia="仿宋_GB2312" w:cs="仿宋_GB2312"/>
          <w:color w:val="auto"/>
          <w:sz w:val="32"/>
          <w:szCs w:val="32"/>
          <w:lang w:val="en-US" w:eastAsia="zh-CN"/>
        </w:rPr>
        <w:t>2020级、2021级</w:t>
      </w:r>
      <w:r>
        <w:rPr>
          <w:rFonts w:hint="eastAsia" w:ascii="仿宋_GB2312" w:hAnsi="仿宋_GB2312" w:eastAsia="仿宋_GB2312" w:cs="仿宋_GB2312"/>
          <w:color w:val="auto"/>
          <w:sz w:val="32"/>
          <w:szCs w:val="32"/>
          <w:lang w:val="en-US"/>
        </w:rPr>
        <w:t>学生，各</w:t>
      </w:r>
      <w:r>
        <w:rPr>
          <w:rFonts w:hint="eastAsia" w:ascii="仿宋_GB2312" w:hAnsi="仿宋_GB2312" w:eastAsia="仿宋_GB2312" w:cs="仿宋_GB2312"/>
          <w:color w:val="auto"/>
          <w:sz w:val="32"/>
          <w:szCs w:val="32"/>
          <w:lang w:val="en-US" w:eastAsia="zh-CN"/>
        </w:rPr>
        <w:t>学院</w:t>
      </w:r>
      <w:r>
        <w:rPr>
          <w:rFonts w:hint="eastAsia" w:ascii="仿宋_GB2312" w:hAnsi="仿宋_GB2312" w:eastAsia="仿宋_GB2312" w:cs="仿宋_GB2312"/>
          <w:color w:val="auto"/>
          <w:sz w:val="32"/>
          <w:szCs w:val="32"/>
          <w:lang w:val="en-US"/>
        </w:rPr>
        <w:t>要提前</w:t>
      </w:r>
      <w:r>
        <w:rPr>
          <w:rFonts w:hint="eastAsia" w:ascii="仿宋_GB2312" w:hAnsi="仿宋_GB2312" w:eastAsia="仿宋_GB2312" w:cs="仿宋_GB2312"/>
          <w:color w:val="auto"/>
          <w:sz w:val="32"/>
          <w:szCs w:val="32"/>
          <w:lang w:val="en-US" w:eastAsia="zh-CN"/>
        </w:rPr>
        <w:t>2个月</w:t>
      </w:r>
      <w:r>
        <w:rPr>
          <w:rFonts w:hint="eastAsia" w:ascii="仿宋_GB2312" w:hAnsi="仿宋_GB2312" w:eastAsia="仿宋_GB2312" w:cs="仿宋_GB2312"/>
          <w:color w:val="auto"/>
          <w:sz w:val="32"/>
          <w:szCs w:val="32"/>
          <w:lang w:val="en-US"/>
        </w:rPr>
        <w:t>进行毕业预审</w:t>
      </w:r>
      <w:r>
        <w:rPr>
          <w:rFonts w:hint="eastAsia" w:ascii="仿宋_GB2312" w:hAnsi="仿宋_GB2312" w:eastAsia="仿宋_GB2312" w:cs="仿宋_GB2312"/>
          <w:color w:val="auto"/>
          <w:sz w:val="32"/>
          <w:szCs w:val="32"/>
          <w:lang w:val="en-US" w:eastAsia="zh-CN"/>
        </w:rPr>
        <w:t>准备</w:t>
      </w:r>
      <w:r>
        <w:rPr>
          <w:rFonts w:hint="eastAsia" w:ascii="仿宋_GB2312" w:hAnsi="仿宋_GB2312" w:eastAsia="仿宋_GB2312" w:cs="仿宋_GB2312"/>
          <w:color w:val="auto"/>
          <w:sz w:val="32"/>
          <w:szCs w:val="32"/>
          <w:lang w:val="en-US"/>
        </w:rPr>
        <w:t>工作。预审内容主要是对照相应专业人才培养方案毕业要求，重点审核是否能按</w:t>
      </w:r>
      <w:r>
        <w:rPr>
          <w:rFonts w:hint="eastAsia" w:ascii="仿宋_GB2312" w:hAnsi="仿宋_GB2312" w:eastAsia="仿宋_GB2312" w:cs="仿宋_GB2312"/>
          <w:sz w:val="32"/>
          <w:szCs w:val="32"/>
          <w:lang w:val="en-US"/>
        </w:rPr>
        <w:t>时修完专业人才培养方案规定课程，成绩合格，达到培养目标，修够毕业最低学分等。对于拟申请毕业但仍未达到毕业条件的，要明确告知毕业要求和课程学习、补修、考试等安排，并督导其努力达到毕业要求。</w:t>
      </w:r>
      <w:r>
        <w:rPr>
          <w:rFonts w:hint="eastAsia" w:ascii="仿宋_GB2312" w:hAnsi="仿宋_GB2312" w:eastAsia="仿宋_GB2312" w:cs="仿宋_GB2312"/>
          <w:color w:val="auto"/>
          <w:sz w:val="32"/>
          <w:szCs w:val="32"/>
          <w:lang w:val="en-US"/>
        </w:rPr>
        <w:t>不能按时毕业的学生需按照弹性学制、滚动学习的原则在规定最长学习年限内完成课程学习。</w:t>
      </w:r>
    </w:p>
    <w:p w14:paraId="580CAB8C">
      <w:pPr>
        <w:ind w:firstLine="723" w:firstLineChars="200"/>
        <w:jc w:val="left"/>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五、保障措施</w:t>
      </w:r>
    </w:p>
    <w:p w14:paraId="39A08116">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（一）加强领导。</w:t>
      </w:r>
      <w:r>
        <w:rPr>
          <w:rFonts w:hint="eastAsia" w:ascii="仿宋_GB2312" w:hAnsi="仿宋_GB2312" w:eastAsia="仿宋_GB2312" w:cs="仿宋_GB2312"/>
          <w:sz w:val="32"/>
          <w:szCs w:val="32"/>
          <w:lang w:val="en-US"/>
        </w:rPr>
        <w:t>成立郑州信息科技职业学院高职扩招教学工作领导小组，全面领导高职扩招教学工作。</w:t>
      </w:r>
    </w:p>
    <w:p w14:paraId="5C382C08">
      <w:pPr>
        <w:spacing w:line="360" w:lineRule="auto"/>
        <w:ind w:firstLine="640" w:firstLineChars="200"/>
        <w:rPr>
          <w:rFonts w:hint="default" w:ascii="仿宋_GB2312" w:hAnsi="仿宋_GB2312" w:eastAsia="仿宋_GB2312" w:cs="仿宋_GB2312"/>
          <w:color w:val="0000FF"/>
          <w:sz w:val="32"/>
          <w:szCs w:val="32"/>
          <w:lang w:val="en-US" w:eastAsia="zh-CN"/>
        </w:rPr>
      </w:pPr>
      <w:r>
        <w:rPr>
          <w:rFonts w:hint="eastAsia" w:ascii="仿宋_GB2312" w:hAnsi="仿宋_GB2312" w:eastAsia="仿宋_GB2312" w:cs="仿宋_GB2312"/>
          <w:sz w:val="32"/>
          <w:szCs w:val="32"/>
          <w:lang w:val="en-US"/>
        </w:rPr>
        <w:t>组长</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lang w:val="en-US" w:eastAsia="zh-CN"/>
        </w:rPr>
        <w:t>吴建伟</w:t>
      </w:r>
    </w:p>
    <w:p w14:paraId="30726716">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成员：梁尔涛 </w:t>
      </w:r>
      <w:r>
        <w:rPr>
          <w:rFonts w:hint="eastAsia" w:ascii="仿宋_GB2312" w:hAnsi="仿宋_GB2312" w:eastAsia="仿宋_GB2312" w:cs="仿宋_GB2312"/>
          <w:sz w:val="32"/>
          <w:szCs w:val="32"/>
          <w:lang w:val="en-US" w:eastAsia="zh-CN"/>
        </w:rPr>
        <w:t xml:space="preserve">裴延锋  </w:t>
      </w:r>
      <w:r>
        <w:rPr>
          <w:rFonts w:hint="eastAsia" w:ascii="仿宋_GB2312" w:hAnsi="仿宋_GB2312" w:eastAsia="仿宋_GB2312" w:cs="仿宋_GB2312"/>
          <w:color w:val="auto"/>
          <w:sz w:val="32"/>
          <w:szCs w:val="32"/>
          <w:lang w:val="en-US" w:eastAsia="zh-CN"/>
        </w:rPr>
        <w:t>彭愈强</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rPr>
        <w:t>朱瑞华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向春枝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姜  河  </w:t>
      </w:r>
      <w:r>
        <w:rPr>
          <w:rFonts w:hint="eastAsia" w:ascii="仿宋_GB2312" w:hAnsi="仿宋_GB2312" w:eastAsia="仿宋_GB2312" w:cs="仿宋_GB2312"/>
          <w:sz w:val="32"/>
          <w:szCs w:val="32"/>
          <w:lang w:val="en-US" w:eastAsia="zh-CN"/>
        </w:rPr>
        <w:t>邵志刚</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赵  恒  廉  洁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王新生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尚  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田俊敏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王记生  </w:t>
      </w:r>
      <w:r>
        <w:rPr>
          <w:rFonts w:hint="eastAsia" w:ascii="仿宋_GB2312" w:hAnsi="仿宋_GB2312" w:eastAsia="仿宋_GB2312" w:cs="仿宋_GB2312"/>
          <w:sz w:val="32"/>
          <w:szCs w:val="32"/>
          <w:lang w:val="en-US" w:eastAsia="zh-CN"/>
        </w:rPr>
        <w:t xml:space="preserve">黄  建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王  倩  </w:t>
      </w:r>
      <w:r>
        <w:rPr>
          <w:rFonts w:hint="eastAsia" w:ascii="仿宋_GB2312" w:hAnsi="仿宋_GB2312" w:eastAsia="仿宋_GB2312" w:cs="仿宋_GB2312"/>
          <w:sz w:val="32"/>
          <w:szCs w:val="32"/>
          <w:lang w:val="en-US" w:eastAsia="zh-CN"/>
        </w:rPr>
        <w:t>郝绍菊</w:t>
      </w:r>
      <w:r>
        <w:rPr>
          <w:rFonts w:hint="eastAsia" w:ascii="仿宋_GB2312" w:hAnsi="仿宋_GB2312" w:eastAsia="仿宋_GB2312" w:cs="仿宋_GB2312"/>
          <w:sz w:val="32"/>
          <w:szCs w:val="32"/>
          <w:lang w:val="en-US"/>
        </w:rPr>
        <w:t xml:space="preserve"> </w:t>
      </w:r>
    </w:p>
    <w:p w14:paraId="746C6B00">
      <w:pPr>
        <w:spacing w:line="360" w:lineRule="auto"/>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color w:val="auto"/>
          <w:sz w:val="32"/>
          <w:szCs w:val="32"/>
          <w:lang w:val="en-US"/>
        </w:rPr>
        <w:t>各</w:t>
      </w:r>
      <w:r>
        <w:rPr>
          <w:rFonts w:hint="eastAsia" w:ascii="仿宋_GB2312" w:hAnsi="仿宋_GB2312" w:eastAsia="仿宋_GB2312" w:cs="仿宋_GB2312"/>
          <w:color w:val="auto"/>
          <w:sz w:val="32"/>
          <w:szCs w:val="32"/>
          <w:lang w:val="en-US" w:eastAsia="zh-CN"/>
        </w:rPr>
        <w:t>教学院部</w:t>
      </w:r>
      <w:r>
        <w:rPr>
          <w:rFonts w:hint="eastAsia" w:ascii="仿宋_GB2312" w:hAnsi="仿宋_GB2312" w:eastAsia="仿宋_GB2312" w:cs="仿宋_GB2312"/>
          <w:sz w:val="32"/>
          <w:szCs w:val="32"/>
          <w:lang w:val="en-US"/>
        </w:rPr>
        <w:t>成立高职扩招教学工作</w:t>
      </w:r>
      <w:r>
        <w:rPr>
          <w:rFonts w:hint="eastAsia" w:ascii="仿宋_GB2312" w:hAnsi="仿宋_GB2312" w:eastAsia="仿宋_GB2312" w:cs="仿宋_GB2312"/>
          <w:sz w:val="32"/>
          <w:szCs w:val="32"/>
          <w:lang w:val="en-US" w:eastAsia="zh-CN"/>
        </w:rPr>
        <w:t>专项小组，结合实际制定集中教学和实践教学实施方案，推进教学活动有序开展，</w:t>
      </w:r>
      <w:r>
        <w:rPr>
          <w:rFonts w:hint="eastAsia" w:ascii="仿宋_GB2312" w:hAnsi="仿宋_GB2312" w:eastAsia="仿宋_GB2312" w:cs="仿宋_GB2312"/>
          <w:sz w:val="32"/>
          <w:szCs w:val="32"/>
          <w:highlight w:val="none"/>
          <w:lang w:val="en-US" w:eastAsia="zh-CN"/>
        </w:rPr>
        <w:t>推动学生尽快毕业。</w:t>
      </w:r>
    </w:p>
    <w:p w14:paraId="43205187">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（二）明确职责。</w:t>
      </w:r>
      <w:r>
        <w:rPr>
          <w:rFonts w:hint="eastAsia" w:ascii="仿宋_GB2312" w:hAnsi="仿宋_GB2312" w:eastAsia="仿宋_GB2312" w:cs="仿宋_GB2312"/>
          <w:sz w:val="32"/>
          <w:szCs w:val="32"/>
          <w:lang w:val="en-US"/>
        </w:rPr>
        <w:t>各部门要强化责任意识，根据本方案，将每一项工作安排、每一门课程教学具体到人，明确任务和职责，压实责任，保障高职扩招教学工作顺利进行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highlight w:val="none"/>
          <w:lang w:val="en-US" w:eastAsia="zh-CN"/>
        </w:rPr>
        <w:t>推动学生尽快毕业</w:t>
      </w:r>
      <w:r>
        <w:rPr>
          <w:rFonts w:hint="eastAsia" w:ascii="仿宋_GB2312" w:hAnsi="仿宋_GB2312" w:eastAsia="仿宋_GB2312" w:cs="仿宋_GB2312"/>
          <w:sz w:val="32"/>
          <w:szCs w:val="32"/>
          <w:lang w:val="en-US"/>
        </w:rPr>
        <w:t>。</w:t>
      </w:r>
    </w:p>
    <w:p w14:paraId="6BF0D1BF">
      <w:pPr>
        <w:spacing w:line="360" w:lineRule="auto"/>
        <w:ind w:firstLine="643"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（三）强化保障。</w:t>
      </w:r>
      <w:r>
        <w:rPr>
          <w:rFonts w:hint="eastAsia" w:ascii="仿宋_GB2312" w:hAnsi="仿宋_GB2312" w:eastAsia="仿宋_GB2312" w:cs="仿宋_GB2312"/>
          <w:sz w:val="32"/>
          <w:szCs w:val="32"/>
          <w:lang w:val="en-US"/>
        </w:rPr>
        <w:t>信息技术与数据管理中心负责技术保障和教学支持服务。质量管理与绩效评估办公室负责教学质量管理与教学检查督导，保障教学质量。</w:t>
      </w:r>
    </w:p>
    <w:p w14:paraId="7E4E1F16">
      <w:pPr>
        <w:ind w:firstLine="723" w:firstLineChars="200"/>
        <w:jc w:val="left"/>
        <w:rPr>
          <w:rFonts w:hint="default" w:ascii="黑体" w:hAnsi="黑体" w:eastAsia="黑体" w:cs="黑体"/>
          <w:b/>
          <w:bCs/>
          <w:sz w:val="36"/>
          <w:szCs w:val="36"/>
          <w:lang w:val="en-US" w:eastAsia="zh-CN"/>
        </w:rPr>
      </w:pPr>
      <w:r>
        <w:rPr>
          <w:rFonts w:hint="eastAsia" w:ascii="黑体" w:hAnsi="黑体" w:eastAsia="黑体" w:cs="黑体"/>
          <w:b/>
          <w:bCs/>
          <w:sz w:val="36"/>
          <w:szCs w:val="36"/>
          <w:lang w:val="en-US" w:eastAsia="zh-CN"/>
        </w:rPr>
        <w:t>六、相关工作联系人</w:t>
      </w:r>
    </w:p>
    <w:p w14:paraId="597FBF41">
      <w:pPr>
        <w:spacing w:line="360" w:lineRule="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各部门、学院教学工作联系人与联系方式见下表：</w:t>
      </w:r>
    </w:p>
    <w:tbl>
      <w:tblPr>
        <w:tblStyle w:val="5"/>
        <w:tblW w:w="92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8"/>
        <w:gridCol w:w="1270"/>
        <w:gridCol w:w="2076"/>
        <w:gridCol w:w="2747"/>
      </w:tblGrid>
      <w:tr w14:paraId="33C6F34C">
        <w:tblPrEx>
          <w:tblLayout w:type="fixed"/>
        </w:tblPrEx>
        <w:trPr>
          <w:trHeight w:val="464" w:hRule="atLeast"/>
          <w:jc w:val="center"/>
        </w:trPr>
        <w:tc>
          <w:tcPr>
            <w:tcW w:w="3118" w:type="dxa"/>
            <w:vAlign w:val="center"/>
          </w:tcPr>
          <w:p w14:paraId="48325E47">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部门</w:t>
            </w:r>
          </w:p>
        </w:tc>
        <w:tc>
          <w:tcPr>
            <w:tcW w:w="1270" w:type="dxa"/>
            <w:vAlign w:val="center"/>
          </w:tcPr>
          <w:p w14:paraId="410D9164">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联系人</w:t>
            </w:r>
          </w:p>
        </w:tc>
        <w:tc>
          <w:tcPr>
            <w:tcW w:w="2076" w:type="dxa"/>
            <w:vAlign w:val="center"/>
          </w:tcPr>
          <w:p w14:paraId="38F5C07E">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联系电话</w:t>
            </w:r>
          </w:p>
        </w:tc>
        <w:tc>
          <w:tcPr>
            <w:tcW w:w="2747" w:type="dxa"/>
            <w:vAlign w:val="center"/>
          </w:tcPr>
          <w:p w14:paraId="16AA892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b/>
                <w:bCs/>
                <w:sz w:val="21"/>
                <w:szCs w:val="21"/>
                <w:lang w:val="en-US"/>
              </w:rPr>
            </w:pPr>
            <w:r>
              <w:rPr>
                <w:rFonts w:hint="eastAsia" w:ascii="宋体" w:hAnsi="宋体" w:eastAsia="宋体" w:cs="宋体"/>
                <w:b/>
                <w:bCs/>
                <w:sz w:val="21"/>
                <w:szCs w:val="21"/>
                <w:lang w:val="en-US"/>
              </w:rPr>
              <w:t>涉及专业</w:t>
            </w:r>
          </w:p>
        </w:tc>
      </w:tr>
      <w:tr w14:paraId="43837B30">
        <w:tblPrEx>
          <w:tblLayout w:type="fixed"/>
        </w:tblPrEx>
        <w:trPr>
          <w:trHeight w:val="195" w:hRule="atLeast"/>
          <w:jc w:val="center"/>
        </w:trPr>
        <w:tc>
          <w:tcPr>
            <w:tcW w:w="3118" w:type="dxa"/>
            <w:vAlign w:val="center"/>
          </w:tcPr>
          <w:p w14:paraId="1D3E225A">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教务处</w:t>
            </w:r>
          </w:p>
        </w:tc>
        <w:tc>
          <w:tcPr>
            <w:tcW w:w="1270" w:type="dxa"/>
            <w:vAlign w:val="center"/>
          </w:tcPr>
          <w:p w14:paraId="0B73F55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郝绍菊</w:t>
            </w:r>
          </w:p>
        </w:tc>
        <w:tc>
          <w:tcPr>
            <w:tcW w:w="2076" w:type="dxa"/>
            <w:vAlign w:val="center"/>
          </w:tcPr>
          <w:p w14:paraId="4BA7EB13">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sz w:val="21"/>
                <w:szCs w:val="21"/>
              </w:rPr>
              <w:t>0371-65927719</w:t>
            </w:r>
          </w:p>
        </w:tc>
        <w:tc>
          <w:tcPr>
            <w:tcW w:w="2747" w:type="dxa"/>
            <w:vMerge w:val="restart"/>
            <w:vAlign w:val="center"/>
          </w:tcPr>
          <w:p w14:paraId="1461BA45">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487D47F7">
        <w:tblPrEx>
          <w:tblLayout w:type="fixed"/>
        </w:tblPrEx>
        <w:trPr>
          <w:trHeight w:val="195" w:hRule="atLeast"/>
          <w:jc w:val="center"/>
        </w:trPr>
        <w:tc>
          <w:tcPr>
            <w:tcW w:w="3118" w:type="dxa"/>
            <w:vAlign w:val="center"/>
          </w:tcPr>
          <w:p w14:paraId="6D8BE5C2">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eastAsia="zh-CN" w:bidi="ar"/>
              </w:rPr>
            </w:pPr>
            <w:r>
              <w:rPr>
                <w:rFonts w:hint="eastAsia" w:ascii="宋体" w:hAnsi="宋体" w:eastAsia="宋体" w:cs="宋体"/>
                <w:color w:val="auto"/>
                <w:sz w:val="21"/>
                <w:szCs w:val="21"/>
                <w:lang w:val="en-US" w:bidi="ar"/>
              </w:rPr>
              <w:t>质量管理与绩效评估办公室</w:t>
            </w:r>
          </w:p>
        </w:tc>
        <w:tc>
          <w:tcPr>
            <w:tcW w:w="1270" w:type="dxa"/>
            <w:vAlign w:val="center"/>
          </w:tcPr>
          <w:p w14:paraId="69107CC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lang w:val="en-US" w:eastAsia="zh-CN" w:bidi="zh-CN"/>
              </w:rPr>
              <w:t>王青</w:t>
            </w:r>
          </w:p>
        </w:tc>
        <w:tc>
          <w:tcPr>
            <w:tcW w:w="2076" w:type="dxa"/>
            <w:vAlign w:val="center"/>
          </w:tcPr>
          <w:p w14:paraId="66C132E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zh-CN" w:eastAsia="zh-CN"/>
              </w:rPr>
            </w:pPr>
            <w:r>
              <w:rPr>
                <w:rFonts w:hint="eastAsia" w:ascii="宋体" w:hAnsi="宋体" w:eastAsia="宋体" w:cs="宋体"/>
                <w:color w:val="auto"/>
                <w:sz w:val="21"/>
                <w:szCs w:val="21"/>
              </w:rPr>
              <w:t>0371-58525392</w:t>
            </w:r>
          </w:p>
        </w:tc>
        <w:tc>
          <w:tcPr>
            <w:tcW w:w="2747" w:type="dxa"/>
            <w:vMerge w:val="continue"/>
            <w:vAlign w:val="center"/>
          </w:tcPr>
          <w:p w14:paraId="6F8688F1">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p>
        </w:tc>
      </w:tr>
      <w:tr w14:paraId="2FE8D8FB">
        <w:tblPrEx>
          <w:tblLayout w:type="fixed"/>
        </w:tblPrEx>
        <w:trPr>
          <w:trHeight w:val="180" w:hRule="atLeast"/>
          <w:jc w:val="center"/>
        </w:trPr>
        <w:tc>
          <w:tcPr>
            <w:tcW w:w="3118" w:type="dxa"/>
            <w:vAlign w:val="center"/>
          </w:tcPr>
          <w:p w14:paraId="23378C6E">
            <w:pPr>
              <w:keepNext w:val="0"/>
              <w:keepLines w:val="0"/>
              <w:pageBreakBefore w:val="0"/>
              <w:kinsoku/>
              <w:wordWrap/>
              <w:overflowPunct/>
              <w:topLinePunct w:val="0"/>
              <w:autoSpaceDE/>
              <w:autoSpaceDN/>
              <w:bidi w:val="0"/>
              <w:adjustRightInd/>
              <w:snapToGrid/>
              <w:spacing w:line="300" w:lineRule="exact"/>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信息技术与数据管理中心</w:t>
            </w:r>
          </w:p>
        </w:tc>
        <w:tc>
          <w:tcPr>
            <w:tcW w:w="1270" w:type="dxa"/>
            <w:vAlign w:val="center"/>
          </w:tcPr>
          <w:p w14:paraId="5C31F843">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张凯</w:t>
            </w:r>
          </w:p>
        </w:tc>
        <w:tc>
          <w:tcPr>
            <w:tcW w:w="2076" w:type="dxa"/>
            <w:vAlign w:val="center"/>
          </w:tcPr>
          <w:p w14:paraId="2973256A">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0371-585258</w:t>
            </w:r>
            <w:r>
              <w:rPr>
                <w:rFonts w:hint="eastAsia" w:ascii="宋体" w:hAnsi="宋体" w:cs="宋体"/>
                <w:color w:val="auto"/>
                <w:sz w:val="21"/>
                <w:szCs w:val="21"/>
                <w:lang w:val="en-US" w:eastAsia="zh-CN"/>
              </w:rPr>
              <w:t>58</w:t>
            </w:r>
          </w:p>
        </w:tc>
        <w:tc>
          <w:tcPr>
            <w:tcW w:w="2747" w:type="dxa"/>
            <w:vMerge w:val="continue"/>
            <w:vAlign w:val="center"/>
          </w:tcPr>
          <w:p w14:paraId="1F96075C">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53908126">
        <w:tblPrEx>
          <w:tblLayout w:type="fixed"/>
        </w:tblPrEx>
        <w:trPr>
          <w:trHeight w:val="135" w:hRule="atLeast"/>
          <w:jc w:val="center"/>
        </w:trPr>
        <w:tc>
          <w:tcPr>
            <w:tcW w:w="3118" w:type="dxa"/>
            <w:vAlign w:val="center"/>
          </w:tcPr>
          <w:p w14:paraId="6A4D650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eastAsia="zh-CN" w:bidi="ar"/>
              </w:rPr>
            </w:pPr>
            <w:r>
              <w:rPr>
                <w:rFonts w:hint="eastAsia" w:ascii="宋体" w:hAnsi="宋体" w:eastAsia="宋体" w:cs="宋体"/>
                <w:color w:val="auto"/>
                <w:sz w:val="21"/>
                <w:szCs w:val="21"/>
                <w:lang w:val="en-US" w:bidi="ar"/>
              </w:rPr>
              <w:t>学分银行管理中心</w:t>
            </w:r>
          </w:p>
        </w:tc>
        <w:tc>
          <w:tcPr>
            <w:tcW w:w="1270" w:type="dxa"/>
            <w:vAlign w:val="center"/>
          </w:tcPr>
          <w:p w14:paraId="360A4A77">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bidi="zh-CN"/>
              </w:rPr>
            </w:pPr>
            <w:r>
              <w:rPr>
                <w:rFonts w:hint="eastAsia" w:ascii="宋体" w:hAnsi="宋体" w:eastAsia="宋体" w:cs="宋体"/>
                <w:color w:val="auto"/>
                <w:sz w:val="21"/>
                <w:szCs w:val="21"/>
              </w:rPr>
              <w:t>邵志刚</w:t>
            </w:r>
          </w:p>
        </w:tc>
        <w:tc>
          <w:tcPr>
            <w:tcW w:w="2076" w:type="dxa"/>
            <w:vAlign w:val="center"/>
          </w:tcPr>
          <w:p w14:paraId="2F8480E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0371-56055111</w:t>
            </w:r>
          </w:p>
        </w:tc>
        <w:tc>
          <w:tcPr>
            <w:tcW w:w="2747" w:type="dxa"/>
            <w:vMerge w:val="continue"/>
            <w:vAlign w:val="center"/>
          </w:tcPr>
          <w:p w14:paraId="45EFC43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p>
        </w:tc>
      </w:tr>
      <w:tr w14:paraId="4F347A67">
        <w:tblPrEx>
          <w:tblLayout w:type="fixed"/>
        </w:tblPrEx>
        <w:trPr>
          <w:trHeight w:val="653" w:hRule="atLeast"/>
          <w:jc w:val="center"/>
        </w:trPr>
        <w:tc>
          <w:tcPr>
            <w:tcW w:w="3118" w:type="dxa"/>
            <w:vAlign w:val="center"/>
          </w:tcPr>
          <w:p w14:paraId="04EC46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信息工程与人工智能学院</w:t>
            </w:r>
          </w:p>
        </w:tc>
        <w:tc>
          <w:tcPr>
            <w:tcW w:w="1270" w:type="dxa"/>
            <w:vAlign w:val="center"/>
          </w:tcPr>
          <w:p w14:paraId="0C4B982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袁正道</w:t>
            </w:r>
          </w:p>
          <w:p w14:paraId="260BAAEA">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邹香玲</w:t>
            </w:r>
          </w:p>
        </w:tc>
        <w:tc>
          <w:tcPr>
            <w:tcW w:w="2076" w:type="dxa"/>
            <w:vAlign w:val="center"/>
          </w:tcPr>
          <w:p w14:paraId="3B5AC98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0371-58525359</w:t>
            </w:r>
          </w:p>
        </w:tc>
        <w:tc>
          <w:tcPr>
            <w:tcW w:w="2747" w:type="dxa"/>
            <w:vAlign w:val="center"/>
          </w:tcPr>
          <w:p w14:paraId="1EDCFB60">
            <w:pPr>
              <w:pStyle w:val="7"/>
              <w:keepNext w:val="0"/>
              <w:keepLines w:val="0"/>
              <w:pageBreakBefore w:val="0"/>
              <w:kinsoku/>
              <w:wordWrap/>
              <w:overflowPunct/>
              <w:topLinePunct w:val="0"/>
              <w:autoSpaceDE/>
              <w:autoSpaceDN/>
              <w:bidi w:val="0"/>
              <w:adjustRightInd/>
              <w:snapToGrid/>
              <w:spacing w:before="81" w:line="300" w:lineRule="exact"/>
              <w:ind w:left="97"/>
              <w:jc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计算机应用技术</w:t>
            </w:r>
          </w:p>
        </w:tc>
      </w:tr>
      <w:tr w14:paraId="376BE12E">
        <w:tblPrEx>
          <w:tblLayout w:type="fixed"/>
        </w:tblPrEx>
        <w:trPr>
          <w:jc w:val="center"/>
        </w:trPr>
        <w:tc>
          <w:tcPr>
            <w:tcW w:w="3118" w:type="dxa"/>
            <w:vAlign w:val="center"/>
          </w:tcPr>
          <w:p w14:paraId="30D5C20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bidi="ar"/>
              </w:rPr>
              <w:t>机电工程与智能制造学院</w:t>
            </w:r>
          </w:p>
        </w:tc>
        <w:tc>
          <w:tcPr>
            <w:tcW w:w="1270" w:type="dxa"/>
            <w:vAlign w:val="center"/>
          </w:tcPr>
          <w:p w14:paraId="44D27DE2">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赵娅</w:t>
            </w:r>
          </w:p>
          <w:p w14:paraId="293509F0">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闫胜男</w:t>
            </w:r>
          </w:p>
        </w:tc>
        <w:tc>
          <w:tcPr>
            <w:tcW w:w="2076" w:type="dxa"/>
            <w:vAlign w:val="center"/>
          </w:tcPr>
          <w:p w14:paraId="4821DB86">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0371-58525595</w:t>
            </w:r>
          </w:p>
        </w:tc>
        <w:tc>
          <w:tcPr>
            <w:tcW w:w="2747" w:type="dxa"/>
            <w:vAlign w:val="center"/>
          </w:tcPr>
          <w:p w14:paraId="32B07129">
            <w:pPr>
              <w:pStyle w:val="7"/>
              <w:keepNext w:val="0"/>
              <w:keepLines w:val="0"/>
              <w:pageBreakBefore w:val="0"/>
              <w:kinsoku/>
              <w:wordWrap/>
              <w:overflowPunct/>
              <w:topLinePunct w:val="0"/>
              <w:autoSpaceDE/>
              <w:autoSpaceDN/>
              <w:bidi w:val="0"/>
              <w:adjustRightInd/>
              <w:snapToGrid/>
              <w:spacing w:before="79" w:line="300" w:lineRule="exact"/>
              <w:ind w:left="97" w:right="176"/>
              <w:jc w:val="center"/>
              <w:rPr>
                <w:rFonts w:hint="eastAsia" w:ascii="宋体" w:hAnsi="宋体" w:eastAsia="宋体" w:cs="宋体"/>
                <w:color w:val="auto"/>
                <w:sz w:val="21"/>
                <w:szCs w:val="21"/>
                <w:highlight w:val="none"/>
                <w:lang w:val="en-US" w:bidi="ar"/>
              </w:rPr>
            </w:pPr>
            <w:r>
              <w:rPr>
                <w:rFonts w:hint="eastAsia" w:ascii="宋体" w:hAnsi="宋体" w:eastAsia="宋体" w:cs="宋体"/>
                <w:color w:val="auto"/>
                <w:sz w:val="21"/>
                <w:szCs w:val="21"/>
                <w:highlight w:val="none"/>
                <w:lang w:val="en-US" w:bidi="ar"/>
              </w:rPr>
              <w:t>工业机器人技术、汽车检测与维修技术、机电一体化技术、新能源汽车技术</w:t>
            </w:r>
          </w:p>
        </w:tc>
      </w:tr>
      <w:tr w14:paraId="19FF301F">
        <w:tblPrEx>
          <w:tblLayout w:type="fixed"/>
        </w:tblPrEx>
        <w:trPr>
          <w:jc w:val="center"/>
        </w:trPr>
        <w:tc>
          <w:tcPr>
            <w:tcW w:w="3118" w:type="dxa"/>
            <w:vAlign w:val="center"/>
          </w:tcPr>
          <w:p w14:paraId="12F642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建筑工程与智能建造学院</w:t>
            </w:r>
          </w:p>
        </w:tc>
        <w:tc>
          <w:tcPr>
            <w:tcW w:w="1270" w:type="dxa"/>
            <w:vAlign w:val="center"/>
          </w:tcPr>
          <w:p w14:paraId="468FE5B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马潇潇</w:t>
            </w:r>
          </w:p>
          <w:p w14:paraId="1424B678">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宋浩静</w:t>
            </w:r>
          </w:p>
        </w:tc>
        <w:tc>
          <w:tcPr>
            <w:tcW w:w="2076" w:type="dxa"/>
            <w:vAlign w:val="center"/>
          </w:tcPr>
          <w:p w14:paraId="1655C6B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0371-58525310</w:t>
            </w:r>
          </w:p>
        </w:tc>
        <w:tc>
          <w:tcPr>
            <w:tcW w:w="2747" w:type="dxa"/>
            <w:vAlign w:val="center"/>
          </w:tcPr>
          <w:p w14:paraId="5ED7E1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建筑工程技术</w:t>
            </w:r>
          </w:p>
        </w:tc>
      </w:tr>
      <w:tr w14:paraId="5E2CBD13">
        <w:tblPrEx>
          <w:tblLayout w:type="fixed"/>
        </w:tblPrEx>
        <w:trPr>
          <w:jc w:val="center"/>
        </w:trPr>
        <w:tc>
          <w:tcPr>
            <w:tcW w:w="3118" w:type="dxa"/>
            <w:vAlign w:val="center"/>
          </w:tcPr>
          <w:p w14:paraId="64B9A87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bidi="ar"/>
              </w:rPr>
              <w:t>人文与设计学院</w:t>
            </w:r>
          </w:p>
        </w:tc>
        <w:tc>
          <w:tcPr>
            <w:tcW w:w="1270" w:type="dxa"/>
            <w:vAlign w:val="center"/>
          </w:tcPr>
          <w:p w14:paraId="1BBDA425">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rPr>
              <w:t>于秀</w:t>
            </w:r>
          </w:p>
          <w:p w14:paraId="07BE53C9">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李萌欣</w:t>
            </w:r>
          </w:p>
        </w:tc>
        <w:tc>
          <w:tcPr>
            <w:tcW w:w="2076" w:type="dxa"/>
            <w:vAlign w:val="center"/>
          </w:tcPr>
          <w:p w14:paraId="3CBD6D5B">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0371-58525507</w:t>
            </w:r>
          </w:p>
        </w:tc>
        <w:tc>
          <w:tcPr>
            <w:tcW w:w="2747" w:type="dxa"/>
            <w:vAlign w:val="center"/>
          </w:tcPr>
          <w:p w14:paraId="451A1FAB">
            <w:pPr>
              <w:pStyle w:val="7"/>
              <w:keepNext w:val="0"/>
              <w:keepLines w:val="0"/>
              <w:pageBreakBefore w:val="0"/>
              <w:kinsoku/>
              <w:wordWrap/>
              <w:overflowPunct/>
              <w:topLinePunct w:val="0"/>
              <w:autoSpaceDE/>
              <w:autoSpaceDN/>
              <w:bidi w:val="0"/>
              <w:adjustRightInd/>
              <w:snapToGrid/>
              <w:spacing w:before="79" w:line="300" w:lineRule="exact"/>
              <w:ind w:left="97"/>
              <w:jc w:val="center"/>
              <w:rPr>
                <w:rFonts w:hint="eastAsia" w:ascii="宋体" w:hAnsi="宋体" w:eastAsia="宋体" w:cs="宋体"/>
                <w:color w:val="auto"/>
                <w:sz w:val="21"/>
                <w:szCs w:val="21"/>
                <w:highlight w:val="none"/>
                <w:lang w:val="en-US" w:bidi="ar"/>
              </w:rPr>
            </w:pPr>
            <w:r>
              <w:rPr>
                <w:rFonts w:hint="eastAsia" w:cs="宋体"/>
                <w:color w:val="auto"/>
                <w:sz w:val="21"/>
                <w:szCs w:val="21"/>
                <w:highlight w:val="none"/>
                <w:lang w:val="en-US" w:eastAsia="zh-CN" w:bidi="ar"/>
              </w:rPr>
              <w:t>行</w:t>
            </w:r>
            <w:r>
              <w:rPr>
                <w:rFonts w:hint="eastAsia" w:ascii="宋体" w:hAnsi="宋体" w:eastAsia="宋体" w:cs="宋体"/>
                <w:color w:val="auto"/>
                <w:sz w:val="21"/>
                <w:szCs w:val="21"/>
                <w:highlight w:val="none"/>
                <w:lang w:val="en-US" w:bidi="ar"/>
              </w:rPr>
              <w:t>政管理</w:t>
            </w:r>
          </w:p>
        </w:tc>
      </w:tr>
      <w:tr w14:paraId="62FBCF9C">
        <w:tblPrEx>
          <w:tblLayout w:type="fixed"/>
        </w:tblPrEx>
        <w:trPr>
          <w:jc w:val="center"/>
        </w:trPr>
        <w:tc>
          <w:tcPr>
            <w:tcW w:w="3118" w:type="dxa"/>
            <w:vAlign w:val="center"/>
          </w:tcPr>
          <w:p w14:paraId="005FB9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bidi="ar"/>
              </w:rPr>
              <w:t>工商与财会学院</w:t>
            </w:r>
          </w:p>
        </w:tc>
        <w:tc>
          <w:tcPr>
            <w:tcW w:w="1270" w:type="dxa"/>
            <w:vAlign w:val="center"/>
          </w:tcPr>
          <w:p w14:paraId="2A3D613F">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张薇</w:t>
            </w:r>
          </w:p>
          <w:p w14:paraId="6C7F71B1">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ascii="宋体" w:hAnsi="宋体" w:eastAsia="宋体" w:cs="宋体"/>
                <w:sz w:val="21"/>
                <w:szCs w:val="21"/>
              </w:rPr>
              <w:t>荆嵋</w:t>
            </w:r>
          </w:p>
        </w:tc>
        <w:tc>
          <w:tcPr>
            <w:tcW w:w="2076" w:type="dxa"/>
            <w:vAlign w:val="center"/>
          </w:tcPr>
          <w:p w14:paraId="5C0E5D4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0371-58525318</w:t>
            </w:r>
          </w:p>
        </w:tc>
        <w:tc>
          <w:tcPr>
            <w:tcW w:w="2747" w:type="dxa"/>
            <w:vAlign w:val="center"/>
          </w:tcPr>
          <w:p w14:paraId="34DFAE9E">
            <w:pPr>
              <w:pStyle w:val="7"/>
              <w:keepNext w:val="0"/>
              <w:keepLines w:val="0"/>
              <w:pageBreakBefore w:val="0"/>
              <w:kinsoku/>
              <w:wordWrap/>
              <w:overflowPunct/>
              <w:topLinePunct w:val="0"/>
              <w:autoSpaceDE/>
              <w:autoSpaceDN/>
              <w:bidi w:val="0"/>
              <w:adjustRightInd/>
              <w:snapToGrid/>
              <w:spacing w:before="79" w:line="300" w:lineRule="exact"/>
              <w:ind w:left="97" w:right="-15"/>
              <w:jc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工商企业管理、电子商务、</w:t>
            </w:r>
            <w:bookmarkStart w:id="0" w:name="_GoBack"/>
            <w:bookmarkEnd w:id="0"/>
            <w:r>
              <w:rPr>
                <w:rFonts w:hint="eastAsia" w:ascii="宋体" w:hAnsi="宋体" w:eastAsia="宋体" w:cs="宋体"/>
                <w:color w:val="auto"/>
                <w:sz w:val="21"/>
                <w:szCs w:val="21"/>
                <w:lang w:val="en-US" w:bidi="ar"/>
              </w:rPr>
              <w:t>会计</w:t>
            </w:r>
          </w:p>
        </w:tc>
      </w:tr>
      <w:tr w14:paraId="34D9E602">
        <w:tblPrEx>
          <w:tblLayout w:type="fixed"/>
        </w:tblPrEx>
        <w:trPr>
          <w:jc w:val="center"/>
        </w:trPr>
        <w:tc>
          <w:tcPr>
            <w:tcW w:w="3118" w:type="dxa"/>
            <w:vAlign w:val="center"/>
          </w:tcPr>
          <w:p w14:paraId="0103F9C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乡村振兴学院</w:t>
            </w:r>
          </w:p>
        </w:tc>
        <w:tc>
          <w:tcPr>
            <w:tcW w:w="1270" w:type="dxa"/>
            <w:vAlign w:val="center"/>
          </w:tcPr>
          <w:p w14:paraId="5B69E33A">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val="en-US"/>
              </w:rPr>
              <w:t>李文泽</w:t>
            </w:r>
          </w:p>
          <w:p w14:paraId="0EBEC82D">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刘萱</w:t>
            </w:r>
          </w:p>
        </w:tc>
        <w:tc>
          <w:tcPr>
            <w:tcW w:w="2076" w:type="dxa"/>
            <w:vAlign w:val="center"/>
          </w:tcPr>
          <w:p w14:paraId="0FE49FFC">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0371-58525358</w:t>
            </w:r>
          </w:p>
        </w:tc>
        <w:tc>
          <w:tcPr>
            <w:tcW w:w="2747" w:type="dxa"/>
            <w:vAlign w:val="center"/>
          </w:tcPr>
          <w:p w14:paraId="041547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sz w:val="21"/>
                <w:szCs w:val="21"/>
                <w:lang w:val="en-US" w:bidi="ar"/>
              </w:rPr>
            </w:pPr>
            <w:r>
              <w:rPr>
                <w:rFonts w:hint="eastAsia" w:ascii="宋体" w:hAnsi="宋体" w:eastAsia="宋体" w:cs="宋体"/>
                <w:color w:val="auto"/>
                <w:sz w:val="21"/>
                <w:szCs w:val="21"/>
                <w:lang w:val="en-US" w:bidi="ar"/>
              </w:rPr>
              <w:t>农村经营管理</w:t>
            </w:r>
          </w:p>
        </w:tc>
      </w:tr>
    </w:tbl>
    <w:p w14:paraId="1FB580AE">
      <w:pPr>
        <w:spacing w:line="360" w:lineRule="auto"/>
        <w:rPr>
          <w:rFonts w:hint="default" w:ascii="仿宋_GB2312" w:hAnsi="仿宋_GB2312" w:eastAsia="仿宋_GB2312" w:cs="仿宋_GB2312"/>
          <w:sz w:val="32"/>
          <w:szCs w:val="32"/>
          <w:lang w:val="en-US"/>
        </w:rPr>
      </w:pPr>
    </w:p>
    <w:p w14:paraId="7FD7F424">
      <w:pPr>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附件</w:t>
      </w:r>
      <w:r>
        <w:rPr>
          <w:rFonts w:hint="eastAsia" w:ascii="Times New Roman" w:hAnsi="Times New Roman" w:eastAsia="仿宋_GB2312" w:cs="Times New Roman"/>
          <w:color w:val="auto"/>
          <w:sz w:val="28"/>
          <w:szCs w:val="28"/>
          <w:lang w:val="en-US" w:eastAsia="zh-CN"/>
        </w:rPr>
        <w:t>1</w:t>
      </w:r>
      <w:r>
        <w:rPr>
          <w:rFonts w:hint="default" w:ascii="Times New Roman" w:hAnsi="Times New Roman" w:eastAsia="仿宋_GB2312" w:cs="Times New Roman"/>
          <w:color w:val="auto"/>
          <w:sz w:val="28"/>
          <w:szCs w:val="28"/>
          <w:lang w:val="en-US" w:eastAsia="zh-CN"/>
        </w:rPr>
        <w:t>：2026春高职扩招开课列表</w:t>
      </w:r>
    </w:p>
    <w:p w14:paraId="150A506A">
      <w:pPr>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附件</w:t>
      </w:r>
      <w:r>
        <w:rPr>
          <w:rFonts w:hint="eastAsia" w:ascii="Times New Roman" w:hAnsi="Times New Roman" w:eastAsia="仿宋_GB2312" w:cs="Times New Roman"/>
          <w:color w:val="auto"/>
          <w:sz w:val="28"/>
          <w:szCs w:val="28"/>
          <w:lang w:val="en-US" w:eastAsia="zh-CN"/>
        </w:rPr>
        <w:t>2</w:t>
      </w:r>
      <w:r>
        <w:rPr>
          <w:rFonts w:hint="default" w:ascii="Times New Roman" w:hAnsi="Times New Roman" w:eastAsia="仿宋_GB2312" w:cs="Times New Roman"/>
          <w:color w:val="auto"/>
          <w:sz w:val="28"/>
          <w:szCs w:val="28"/>
          <w:lang w:val="en-US" w:eastAsia="zh-CN"/>
        </w:rPr>
        <w:t>：云上河开-学历教育平台选课相关操作手册</w:t>
      </w:r>
    </w:p>
    <w:p w14:paraId="11F264EE">
      <w:pPr>
        <w:rPr>
          <w:rFonts w:hint="default" w:ascii="Times New Roman" w:hAnsi="Times New Roman" w:eastAsia="仿宋_GB2312" w:cs="Times New Roman"/>
          <w:color w:val="auto"/>
          <w:sz w:val="28"/>
          <w:szCs w:val="28"/>
          <w:lang w:val="en-US" w:eastAsia="zh-CN"/>
        </w:rPr>
      </w:pPr>
    </w:p>
    <w:p w14:paraId="5DDF287F">
      <w:pPr>
        <w:rPr>
          <w:rFonts w:hint="default"/>
          <w:color w:val="auto"/>
          <w:sz w:val="28"/>
          <w:szCs w:val="28"/>
          <w:lang w:val="en-US" w:eastAsia="zh-CN"/>
        </w:rPr>
      </w:pPr>
    </w:p>
    <w:p w14:paraId="21C7CFEF">
      <w:pPr>
        <w:spacing w:line="360" w:lineRule="auto"/>
        <w:ind w:firstLine="560" w:firstLineChars="200"/>
        <w:rPr>
          <w:rFonts w:hint="eastAsia" w:ascii="仿宋_GB2312" w:hAnsi="仿宋_GB2312" w:eastAsia="仿宋_GB2312" w:cs="仿宋_GB2312"/>
          <w:sz w:val="32"/>
          <w:szCs w:val="32"/>
          <w:lang w:val="en-US" w:eastAsia="zh-CN"/>
        </w:rPr>
      </w:pPr>
      <w:r>
        <w:rPr>
          <w:rFonts w:hint="eastAsia"/>
          <w:color w:val="auto"/>
          <w:sz w:val="28"/>
          <w:szCs w:val="28"/>
          <w:lang w:val="en-US" w:eastAsia="zh-CN"/>
        </w:rPr>
        <w:t xml:space="preserve">                                    </w:t>
      </w:r>
      <w:r>
        <w:rPr>
          <w:rFonts w:hint="eastAsia"/>
          <w:b w:val="0"/>
          <w:bCs w:val="0"/>
          <w:color w:val="auto"/>
          <w:sz w:val="28"/>
          <w:szCs w:val="28"/>
          <w:lang w:val="en-US" w:eastAsia="zh-CN"/>
        </w:rPr>
        <w:t xml:space="preserve">        </w:t>
      </w:r>
      <w:r>
        <w:rPr>
          <w:rFonts w:hint="eastAsia" w:ascii="仿宋_GB2312" w:hAnsi="仿宋_GB2312" w:eastAsia="仿宋_GB2312" w:cs="仿宋_GB2312"/>
          <w:sz w:val="32"/>
          <w:szCs w:val="32"/>
          <w:lang w:val="en-US" w:eastAsia="zh-CN"/>
        </w:rPr>
        <w:t xml:space="preserve"> 教务处</w:t>
      </w:r>
    </w:p>
    <w:p w14:paraId="48AB5A24">
      <w:pPr>
        <w:spacing w:line="360" w:lineRule="auto"/>
        <w:ind w:firstLine="640" w:firstLineChars="200"/>
      </w:pPr>
      <w:r>
        <w:rPr>
          <w:rFonts w:hint="eastAsia" w:ascii="仿宋_GB2312" w:hAnsi="仿宋_GB2312" w:eastAsia="仿宋_GB2312" w:cs="仿宋_GB2312"/>
          <w:sz w:val="32"/>
          <w:szCs w:val="32"/>
          <w:lang w:val="en-US" w:eastAsia="zh-CN"/>
        </w:rPr>
        <w:t xml:space="preserve">                                  2026年3月6日</w:t>
      </w:r>
    </w:p>
    <w:sectPr>
      <w:footerReference r:id="rId3" w:type="default"/>
      <w:pgSz w:w="11906" w:h="16838"/>
      <w:pgMar w:top="1701" w:right="1531" w:bottom="1984" w:left="1531" w:header="851" w:footer="992" w:gutter="0"/>
      <w:pgNumType w:fmt="numberInDash" w:start="1"/>
      <w:cols w:space="720" w:num="1"/>
      <w:docGrid w:type="lines" w:linePitch="45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embedRegular r:id="rId1" w:fontKey="{B95AD949-929F-EBC4-6EAE-AA69156639A5}"/>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Microsoft JhengHei">
    <w:panose1 w:val="020B0604030504040204"/>
    <w:charset w:val="88"/>
    <w:family w:val="swiss"/>
    <w:pitch w:val="default"/>
    <w:sig w:usb0="00000000" w:usb1="00000000" w:usb2="00000016" w:usb3="00000000" w:csb0="00100009" w:csb1="00000000"/>
  </w:font>
  <w:font w:name="方正小标宋简体">
    <w:panose1 w:val="02010601030101010101"/>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0" w:usb1="00000000" w:usb2="00000000" w:usb3="00000000" w:csb0="00040000" w:csb1="00000000"/>
    <w:embedRegular r:id="rId2" w:fontKey="{5B7C87E9-24F7-305D-6EAE-AA697AA0EDF7}"/>
  </w:font>
  <w:font w:name="仿宋">
    <w:panose1 w:val="02010609060101010101"/>
    <w:charset w:val="86"/>
    <w:family w:val="modern"/>
    <w:pitch w:val="default"/>
    <w:sig w:usb0="00000000" w:usb1="00000000" w:usb2="00000016" w:usb3="00000000" w:csb0="00040001" w:csb1="00000000"/>
    <w:embedRegular r:id="rId3" w:fontKey="{D21E7BE0-59AA-FE0D-6EAE-AA69FDED18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666F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F6B68A1">
                          <w:pPr>
                            <w:pStyle w:val="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14:paraId="4F6B68A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1"/>
    <w:pPr>
      <w:ind w:left="842"/>
      <w:outlineLvl w:val="1"/>
    </w:pPr>
    <w:rPr>
      <w:rFonts w:ascii="Microsoft JhengHei" w:hAnsi="Microsoft JhengHei" w:eastAsia="Microsoft JhengHei" w:cs="Microsoft JhengHei"/>
      <w:b/>
      <w:bCs/>
      <w:sz w:val="30"/>
      <w:szCs w:val="30"/>
      <w:lang w:val="zh-CN" w:eastAsia="zh-CN" w:bidi="zh-CN"/>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1580</Words>
  <Characters>1755</Characters>
  <Lines>0</Lines>
  <Paragraphs>0</Paragraphs>
  <TotalTime>0</TotalTime>
  <ScaleCrop>false</ScaleCrop>
  <LinksUpToDate>false</LinksUpToDate>
  <CharactersWithSpaces>1875</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2024-02-29T00:26:00Z</dcterms:created>
  <dc:creator>小黄羊IX</dc:creator>
  <cp:lastModifiedBy>iPhone</cp:lastModifiedBy>
  <cp:lastPrinted>2026-01-15T17:10:00Z</cp:lastPrinted>
  <dcterms:modified xsi:type="dcterms:W3CDTF">2026-03-06T18:37:34Z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2052-12.40.0</vt:lpwstr>
  </property>
  <property fmtid="{D5CDD505-2E9C-101B-9397-08002B2CF9AE}" pid="3" name="ICV">
    <vt:lpwstr>641DC12F808646CD84E1E4621B55784A_13</vt:lpwstr>
  </property>
  <property fmtid="{D5CDD505-2E9C-101B-9397-08002B2CF9AE}" pid="4" name="KSOTemplateDocerSaveRecord">
    <vt:lpwstr>eyJoZGlkIjoiYWEwZWQzNzFmMzI3OGIwMjZlZTIyM2U0NTE3M2I2NTIiLCJ1c2VySWQiOiIxNjM5NDY0OTM0In0=</vt:lpwstr>
  </property>
</Properties>
</file>