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25" w:beforeLines="50" w:after="225" w:afterLines="50" w:line="900" w:lineRule="exact"/>
        <w:jc w:val="center"/>
        <w:rPr>
          <w:rFonts w:hint="eastAsia" w:ascii="方正小标宋简体" w:eastAsia="方正小标宋简体"/>
          <w:color w:val="FF0000"/>
          <w:spacing w:val="34"/>
          <w:sz w:val="66"/>
          <w:szCs w:val="66"/>
        </w:rPr>
      </w:pPr>
      <w:r>
        <w:rPr>
          <w:rFonts w:ascii="方正小标宋简体" w:eastAsia="方正小标宋简体"/>
          <w:color w:val="FF0000"/>
          <w:sz w:val="66"/>
          <w:szCs w:val="66"/>
        </w:rPr>
        <mc:AlternateContent>
          <mc:Choice Requires="wps">
            <w:drawing>
              <wp:anchor distT="0" distB="0" distL="114300" distR="114300" simplePos="0" relativeHeight="251659264" behindDoc="0" locked="0" layoutInCell="1" allowOverlap="1">
                <wp:simplePos x="0" y="0"/>
                <wp:positionH relativeFrom="column">
                  <wp:posOffset>-401320</wp:posOffset>
                </wp:positionH>
                <wp:positionV relativeFrom="page">
                  <wp:posOffset>1910080</wp:posOffset>
                </wp:positionV>
                <wp:extent cx="6168390" cy="0"/>
                <wp:effectExtent l="0" t="25400" r="3810" b="31750"/>
                <wp:wrapNone/>
                <wp:docPr id="4" name="直接连接符 4"/>
                <wp:cNvGraphicFramePr/>
                <a:graphic xmlns:a="http://schemas.openxmlformats.org/drawingml/2006/main">
                  <a:graphicData uri="http://schemas.microsoft.com/office/word/2010/wordprocessingShape">
                    <wps:wsp>
                      <wps:cNvCnPr/>
                      <wps:spPr>
                        <a:xfrm>
                          <a:off x="0" y="0"/>
                          <a:ext cx="6168390" cy="0"/>
                        </a:xfrm>
                        <a:prstGeom prst="line">
                          <a:avLst/>
                        </a:prstGeom>
                        <a:noFill/>
                        <a:ln w="50800" cap="flat" cmpd="thickThin" algn="ctr">
                          <a:solidFill>
                            <a:srgbClr val="FF0000"/>
                          </a:solidFill>
                          <a:prstDash val="solid"/>
                          <a:miter lim="800000"/>
                        </a:ln>
                        <a:effectLst/>
                      </wps:spPr>
                      <wps:bodyPr/>
                    </wps:wsp>
                  </a:graphicData>
                </a:graphic>
              </wp:anchor>
            </w:drawing>
          </mc:Choice>
          <mc:Fallback>
            <w:pict>
              <v:line id="_x0000_s1026" o:spid="_x0000_s1026" o:spt="20" style="position:absolute;left:0pt;margin-left:-31.6pt;margin-top:150.4pt;height:0pt;width:485.7pt;mso-position-vertical-relative:page;z-index:251659264;mso-width-relative:page;mso-height-relative:page;" filled="f" stroked="t" coordsize="21600,21600" o:gfxdata="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dyHx9QAAAALAQAADwAAAAAAAAABACAAAAAiAAAAZHJzL2Rvd25yZXYueG1sUEsBAhQAFAAAAAgA&#10;h07iQM7JdYvwAQAAxgMAAA4AAAAAAAAAAQAgAAAAIwEAAGRycy9lMm9Eb2MueG1sUEsFBgAAAAAG&#10;AAYAWQEAAIUFAAAAAA==&#10;">
                <v:fill on="f" focussize="0,0"/>
                <v:stroke weight="4pt" color="#FF0000" linestyle="thickThin" miterlimit="8" joinstyle="miter"/>
                <v:imagedata o:title=""/>
                <o:lock v:ext="edit" aspectratio="f"/>
              </v:line>
            </w:pict>
          </mc:Fallback>
        </mc:AlternateContent>
      </w:r>
      <w:r>
        <w:rPr>
          <w:rFonts w:hint="eastAsia" w:ascii="方正小标宋简体" w:eastAsia="方正小标宋简体"/>
          <w:color w:val="FF0000"/>
          <w:spacing w:val="34"/>
          <w:w w:val="87"/>
          <w:sz w:val="60"/>
          <w:szCs w:val="60"/>
        </w:rPr>
        <w:t>郑州信息科技职业学院处室文件</w:t>
      </w:r>
    </w:p>
    <w:p>
      <w:pPr>
        <w:spacing w:line="240" w:lineRule="exact"/>
        <w:jc w:val="center"/>
        <w:rPr>
          <w:rFonts w:ascii="方正小标宋简体" w:eastAsia="方正小标宋简体"/>
          <w:color w:val="FF0000"/>
          <w:sz w:val="66"/>
          <w:szCs w:val="66"/>
        </w:rPr>
      </w:pPr>
    </w:p>
    <w:p>
      <w:pPr>
        <w:spacing w:line="579" w:lineRule="exact"/>
        <w:jc w:val="right"/>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教函</w:t>
      </w:r>
      <w:r>
        <w:rPr>
          <w:rFonts w:hint="eastAsia" w:ascii="仿宋_GB2312" w:hAnsi="Times New Roman" w:eastAsia="仿宋_GB2312"/>
          <w:sz w:val="32"/>
        </w:rPr>
        <w:t>〔202</w:t>
      </w:r>
      <w:r>
        <w:rPr>
          <w:rFonts w:hint="eastAsia" w:ascii="仿宋_GB2312" w:hAnsi="Times New Roman" w:eastAsia="仿宋_GB2312"/>
          <w:sz w:val="32"/>
          <w:lang w:val="en-US" w:eastAsia="zh-CN"/>
        </w:rPr>
        <w:t>4</w:t>
      </w:r>
      <w:r>
        <w:rPr>
          <w:rFonts w:hint="eastAsia" w:ascii="仿宋_GB2312" w:hAnsi="Times New Roman" w:eastAsia="仿宋_GB2312"/>
          <w:sz w:val="32"/>
        </w:rPr>
        <w:t>〕</w:t>
      </w:r>
      <w:r>
        <w:rPr>
          <w:rFonts w:hint="eastAsia" w:ascii="仿宋_GB2312" w:hAnsi="Times New Roman" w:eastAsia="仿宋_GB2312"/>
          <w:sz w:val="32"/>
          <w:lang w:val="en-US" w:eastAsia="zh-CN"/>
        </w:rPr>
        <w:t>13</w:t>
      </w:r>
      <w:r>
        <w:rPr>
          <w:rFonts w:hint="eastAsia" w:ascii="仿宋_GB2312" w:hAnsi="仿宋_GB2312" w:eastAsia="仿宋_GB2312" w:cs="仿宋_GB2312"/>
          <w:sz w:val="32"/>
          <w:szCs w:val="32"/>
        </w:rPr>
        <w:t>号</w:t>
      </w:r>
    </w:p>
    <w:p>
      <w:pPr>
        <w:ind w:left="130" w:leftChars="62"/>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关于高职扩招202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春</w:t>
      </w:r>
      <w:r>
        <w:rPr>
          <w:rFonts w:hint="eastAsia" w:ascii="方正小标宋简体" w:hAnsi="方正小标宋简体" w:eastAsia="方正小标宋简体" w:cs="方正小标宋简体"/>
          <w:sz w:val="44"/>
          <w:szCs w:val="44"/>
        </w:rPr>
        <w:t>季学期</w:t>
      </w:r>
    </w:p>
    <w:p>
      <w:pPr>
        <w:ind w:left="130" w:leftChars="62"/>
        <w:jc w:val="center"/>
        <w:rPr>
          <w:rFonts w:hint="eastAsia" w:ascii="仿宋" w:hAnsi="仿宋" w:eastAsia="仿宋" w:cs="宋体"/>
          <w:sz w:val="32"/>
          <w:szCs w:val="32"/>
        </w:rPr>
      </w:pPr>
      <w:r>
        <w:rPr>
          <w:rFonts w:hint="eastAsia" w:ascii="方正小标宋简体" w:hAnsi="方正小标宋简体" w:eastAsia="方正小标宋简体" w:cs="方正小标宋简体"/>
          <w:sz w:val="44"/>
          <w:szCs w:val="44"/>
        </w:rPr>
        <w:t>教学及相关工作安排的</w:t>
      </w:r>
      <w:r>
        <w:rPr>
          <w:rFonts w:hint="eastAsia" w:ascii="方正小标宋简体" w:hAnsi="方正小标宋简体" w:eastAsia="方正小标宋简体" w:cs="方正小标宋简体"/>
          <w:sz w:val="44"/>
          <w:szCs w:val="44"/>
          <w:lang w:val="en-US" w:eastAsia="zh-CN"/>
        </w:rPr>
        <w:t>通知</w:t>
      </w:r>
    </w:p>
    <w:p>
      <w:pPr>
        <w:ind w:firstLine="562" w:firstLineChars="200"/>
        <w:jc w:val="left"/>
        <w:rPr>
          <w:rFonts w:hint="eastAsia" w:ascii="黑体" w:hAnsi="黑体" w:eastAsia="黑体" w:cs="黑体"/>
          <w:b/>
          <w:bCs/>
          <w:sz w:val="28"/>
          <w:szCs w:val="28"/>
          <w:lang w:val="en-US"/>
        </w:rPr>
      </w:pPr>
      <w:r>
        <w:rPr>
          <w:rFonts w:hint="eastAsia" w:ascii="黑体" w:hAnsi="黑体" w:eastAsia="黑体" w:cs="黑体"/>
          <w:b/>
          <w:bCs/>
          <w:sz w:val="28"/>
          <w:szCs w:val="28"/>
          <w:lang w:val="en-US"/>
        </w:rPr>
        <w:t>一、教学对象</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高职扩招2019、2020、2021级学生。</w:t>
      </w:r>
    </w:p>
    <w:p>
      <w:pPr>
        <w:ind w:firstLine="562" w:firstLineChars="200"/>
        <w:jc w:val="left"/>
        <w:rPr>
          <w:rFonts w:hint="eastAsia" w:ascii="黑体" w:hAnsi="黑体" w:eastAsia="黑体" w:cs="黑体"/>
          <w:b/>
          <w:bCs/>
          <w:sz w:val="28"/>
          <w:szCs w:val="28"/>
          <w:lang w:val="en-US"/>
        </w:rPr>
      </w:pPr>
      <w:r>
        <w:rPr>
          <w:rFonts w:hint="eastAsia" w:ascii="黑体" w:hAnsi="黑体" w:eastAsia="黑体" w:cs="黑体"/>
          <w:b/>
          <w:bCs/>
          <w:sz w:val="28"/>
          <w:szCs w:val="28"/>
          <w:lang w:val="en-US"/>
        </w:rPr>
        <w:t>二、课程教学</w:t>
      </w:r>
    </w:p>
    <w:p>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（一）课程教学内容及安排</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1.《郑州信息科技职业学院2021级高职扩招人才培养方案》中第</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val="en-US"/>
        </w:rPr>
        <w:t>学期</w:t>
      </w:r>
      <w:r>
        <w:rPr>
          <w:rFonts w:hint="eastAsia" w:ascii="仿宋_GB2312" w:hAnsi="仿宋_GB2312" w:eastAsia="仿宋_GB2312" w:cs="仿宋_GB2312"/>
          <w:sz w:val="32"/>
          <w:szCs w:val="32"/>
          <w:lang w:val="en-US" w:eastAsia="zh-CN"/>
        </w:rPr>
        <w:t>实习类</w:t>
      </w:r>
      <w:r>
        <w:rPr>
          <w:rFonts w:hint="eastAsia" w:ascii="仿宋_GB2312" w:hAnsi="仿宋_GB2312" w:eastAsia="仿宋_GB2312" w:cs="仿宋_GB2312"/>
          <w:sz w:val="32"/>
          <w:szCs w:val="32"/>
          <w:lang w:val="en-US"/>
        </w:rPr>
        <w:t>课程，2021级学生正常学习；</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2.按照《郑州信息科技职业学院2019级高职扩招人才培养方案》《郑州信息科技职业学院2020级高职扩招人才培养方案》《郑州信息科技职业学院202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rPr>
        <w:t>级高职扩招人才培养方案》要求，2019级</w:t>
      </w:r>
      <w:r>
        <w:rPr>
          <w:rFonts w:hint="eastAsia" w:ascii="仿宋_GB2312" w:hAnsi="仿宋_GB2312" w:eastAsia="仿宋_GB2312" w:cs="仿宋_GB2312"/>
          <w:sz w:val="32"/>
          <w:szCs w:val="32"/>
          <w:lang w:val="en-US" w:eastAsia="zh-CN"/>
        </w:rPr>
        <w:t>、2020级、2021级</w:t>
      </w:r>
      <w:r>
        <w:rPr>
          <w:rFonts w:hint="eastAsia" w:ascii="仿宋_GB2312" w:hAnsi="仿宋_GB2312" w:eastAsia="仿宋_GB2312" w:cs="仿宋_GB2312"/>
          <w:sz w:val="32"/>
          <w:szCs w:val="32"/>
          <w:lang w:val="en-US"/>
        </w:rPr>
        <w:t>学生</w:t>
      </w:r>
      <w:r>
        <w:rPr>
          <w:rFonts w:hint="eastAsia" w:ascii="仿宋_GB2312" w:hAnsi="仿宋_GB2312" w:eastAsia="仿宋_GB2312" w:cs="仿宋_GB2312"/>
          <w:sz w:val="32"/>
          <w:szCs w:val="32"/>
          <w:lang w:val="en-US" w:eastAsia="zh-CN"/>
        </w:rPr>
        <w:t>（除第五学期课程）尚</w:t>
      </w:r>
      <w:r>
        <w:rPr>
          <w:rFonts w:hint="eastAsia" w:ascii="仿宋_GB2312" w:hAnsi="仿宋_GB2312" w:eastAsia="仿宋_GB2312" w:cs="仿宋_GB2312"/>
          <w:sz w:val="32"/>
          <w:szCs w:val="32"/>
          <w:lang w:val="en-US"/>
        </w:rPr>
        <w:t>未取得学分课程。</w:t>
      </w:r>
    </w:p>
    <w:p>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（二）教学要求</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1.线上教学。省校各学院负责按照人才培养方案落实其中60%线上教学任务，可以安排本学院专任教师授课，也可聘任各校区具备教师资格的教师授课。原则上，每门课程线上集中教学</w:t>
      </w:r>
      <w:r>
        <w:rPr>
          <w:rFonts w:hint="eastAsia" w:ascii="仿宋_GB2312" w:hAnsi="仿宋_GB2312" w:eastAsia="仿宋_GB2312" w:cs="仿宋_GB2312"/>
          <w:sz w:val="32"/>
          <w:szCs w:val="32"/>
          <w:lang w:val="en-US" w:eastAsia="zh-CN"/>
        </w:rPr>
        <w:t>两次：</w:t>
      </w:r>
      <w:r>
        <w:rPr>
          <w:rFonts w:hint="eastAsia" w:ascii="仿宋_GB2312" w:hAnsi="仿宋_GB2312" w:eastAsia="仿宋_GB2312" w:cs="仿宋_GB2312"/>
          <w:sz w:val="32"/>
          <w:szCs w:val="32"/>
          <w:lang w:val="en-US"/>
        </w:rPr>
        <w:t>期初导学和考前</w:t>
      </w:r>
      <w:r>
        <w:rPr>
          <w:rFonts w:hint="eastAsia" w:ascii="仿宋_GB2312" w:hAnsi="仿宋_GB2312" w:eastAsia="仿宋_GB2312" w:cs="仿宋_GB2312"/>
          <w:sz w:val="32"/>
          <w:szCs w:val="32"/>
          <w:lang w:val="en-US" w:eastAsia="zh-CN"/>
        </w:rPr>
        <w:t>辅导。</w:t>
      </w:r>
      <w:r>
        <w:rPr>
          <w:rFonts w:hint="eastAsia" w:ascii="仿宋_GB2312" w:hAnsi="仿宋_GB2312" w:eastAsia="仿宋_GB2312" w:cs="仿宋_GB2312"/>
          <w:sz w:val="32"/>
          <w:szCs w:val="32"/>
          <w:lang w:val="en-US"/>
        </w:rPr>
        <w:t>直播课表于</w:t>
      </w:r>
      <w:r>
        <w:rPr>
          <w:rFonts w:hint="eastAsia" w:ascii="仿宋_GB2312" w:hAnsi="仿宋_GB2312" w:eastAsia="仿宋_GB2312" w:cs="仿宋_GB2312"/>
          <w:sz w:val="32"/>
          <w:szCs w:val="32"/>
          <w:lang w:val="en-US" w:eastAsia="zh-CN"/>
        </w:rPr>
        <w:t>3月20</w:t>
      </w:r>
      <w:r>
        <w:rPr>
          <w:rFonts w:hint="eastAsia" w:ascii="仿宋_GB2312" w:hAnsi="仿宋_GB2312" w:eastAsia="仿宋_GB2312" w:cs="仿宋_GB2312"/>
          <w:sz w:val="32"/>
          <w:szCs w:val="32"/>
          <w:lang w:val="en-US"/>
        </w:rPr>
        <w:t>日前发布。</w:t>
      </w:r>
    </w:p>
    <w:p>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2.线下教学。省校各学院负责下达</w:t>
      </w:r>
      <w:r>
        <w:rPr>
          <w:rFonts w:hint="eastAsia" w:ascii="仿宋_GB2312" w:hAnsi="仿宋_GB2312" w:eastAsia="仿宋_GB2312" w:cs="仿宋_GB2312"/>
          <w:sz w:val="32"/>
          <w:szCs w:val="32"/>
          <w:lang w:val="en-US" w:eastAsia="zh-CN"/>
        </w:rPr>
        <w:t>督促</w:t>
      </w:r>
      <w:r>
        <w:rPr>
          <w:rFonts w:hint="eastAsia" w:ascii="仿宋_GB2312" w:hAnsi="仿宋_GB2312" w:eastAsia="仿宋_GB2312" w:cs="仿宋_GB2312"/>
          <w:sz w:val="32"/>
          <w:szCs w:val="32"/>
          <w:lang w:val="en-US"/>
        </w:rPr>
        <w:t>实践教学任务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rPr>
        <w:t>各校区负责落实40%线下集中面授和实践教学任务。各校区可以安排本校区教师、聘任当地职业技术学院教师或省校教师授课。原则上，线下集中教学每学期不少于16课时</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rPr>
        <w:t>各学院要于</w:t>
      </w:r>
      <w:r>
        <w:rPr>
          <w:rFonts w:hint="eastAsia" w:ascii="仿宋_GB2312" w:hAnsi="仿宋_GB2312" w:eastAsia="仿宋_GB2312" w:cs="仿宋_GB2312"/>
          <w:sz w:val="32"/>
          <w:szCs w:val="32"/>
          <w:lang w:val="en-US" w:eastAsia="zh-CN"/>
        </w:rPr>
        <w:t>3月20</w:t>
      </w:r>
      <w:r>
        <w:rPr>
          <w:rFonts w:hint="eastAsia" w:ascii="仿宋_GB2312" w:hAnsi="仿宋_GB2312" w:eastAsia="仿宋_GB2312" w:cs="仿宋_GB2312"/>
          <w:sz w:val="32"/>
          <w:szCs w:val="32"/>
          <w:lang w:val="en-US"/>
        </w:rPr>
        <w:t>日</w:t>
      </w:r>
      <w:r>
        <w:rPr>
          <w:rFonts w:hint="eastAsia" w:ascii="仿宋_GB2312" w:hAnsi="仿宋_GB2312" w:eastAsia="仿宋_GB2312" w:cs="仿宋_GB2312"/>
          <w:sz w:val="32"/>
          <w:szCs w:val="32"/>
          <w:lang w:val="en-US" w:eastAsia="zh-CN"/>
        </w:rPr>
        <w:t>之</w:t>
      </w:r>
      <w:r>
        <w:rPr>
          <w:rFonts w:hint="eastAsia" w:ascii="仿宋_GB2312" w:hAnsi="仿宋_GB2312" w:eastAsia="仿宋_GB2312" w:cs="仿宋_GB2312"/>
          <w:sz w:val="32"/>
          <w:szCs w:val="32"/>
          <w:lang w:val="en-US"/>
        </w:rPr>
        <w:t>前</w:t>
      </w:r>
      <w:r>
        <w:rPr>
          <w:rFonts w:hint="eastAsia" w:ascii="仿宋_GB2312" w:hAnsi="仿宋_GB2312" w:eastAsia="仿宋_GB2312" w:cs="仿宋_GB2312"/>
          <w:sz w:val="32"/>
          <w:szCs w:val="32"/>
          <w:lang w:val="en-US" w:eastAsia="zh-CN"/>
        </w:rPr>
        <w:t>将实践</w:t>
      </w:r>
      <w:r>
        <w:rPr>
          <w:rFonts w:hint="eastAsia" w:ascii="仿宋_GB2312" w:hAnsi="仿宋_GB2312" w:eastAsia="仿宋_GB2312" w:cs="仿宋_GB2312"/>
          <w:sz w:val="32"/>
          <w:szCs w:val="32"/>
          <w:lang w:val="en-US"/>
        </w:rPr>
        <w:t>教学任务</w:t>
      </w:r>
      <w:r>
        <w:rPr>
          <w:rFonts w:hint="eastAsia" w:ascii="仿宋_GB2312" w:hAnsi="仿宋_GB2312" w:eastAsia="仿宋_GB2312" w:cs="仿宋_GB2312"/>
          <w:sz w:val="32"/>
          <w:szCs w:val="32"/>
          <w:lang w:val="en-US" w:eastAsia="zh-CN"/>
        </w:rPr>
        <w:t>（电子版）下达各校区并报</w:t>
      </w:r>
      <w:r>
        <w:rPr>
          <w:rFonts w:hint="eastAsia" w:ascii="仿宋_GB2312" w:hAnsi="仿宋_GB2312" w:eastAsia="仿宋_GB2312" w:cs="仿宋_GB2312"/>
          <w:sz w:val="32"/>
          <w:szCs w:val="32"/>
          <w:lang w:val="en-US"/>
        </w:rPr>
        <w:t>教务处教学运行科</w:t>
      </w:r>
      <w:r>
        <w:rPr>
          <w:rFonts w:hint="eastAsia" w:ascii="仿宋_GB2312" w:hAnsi="仿宋_GB2312" w:eastAsia="仿宋_GB2312" w:cs="仿宋_GB2312"/>
          <w:sz w:val="32"/>
          <w:szCs w:val="32"/>
          <w:lang w:val="en-US" w:eastAsia="zh-CN"/>
        </w:rPr>
        <w:t>备案。</w:t>
      </w:r>
      <w:r>
        <w:rPr>
          <w:rFonts w:hint="eastAsia" w:ascii="仿宋_GB2312" w:hAnsi="仿宋_GB2312" w:eastAsia="仿宋_GB2312" w:cs="仿宋_GB2312"/>
          <w:sz w:val="32"/>
          <w:szCs w:val="32"/>
          <w:lang w:val="en-US"/>
        </w:rPr>
        <w:t>各校区要把本学期线下教学安排表</w:t>
      </w:r>
      <w:r>
        <w:rPr>
          <w:rFonts w:hint="eastAsia" w:ascii="仿宋_GB2312" w:hAnsi="仿宋_GB2312" w:eastAsia="仿宋_GB2312" w:cs="仿宋_GB2312"/>
          <w:sz w:val="32"/>
          <w:szCs w:val="32"/>
          <w:lang w:val="en-US" w:eastAsia="zh-CN"/>
        </w:rPr>
        <w:t>（电子版）</w:t>
      </w:r>
      <w:r>
        <w:rPr>
          <w:rFonts w:hint="eastAsia" w:ascii="仿宋_GB2312" w:hAnsi="仿宋_GB2312" w:eastAsia="仿宋_GB2312" w:cs="仿宋_GB2312"/>
          <w:sz w:val="32"/>
          <w:szCs w:val="32"/>
          <w:lang w:val="en-US"/>
        </w:rPr>
        <w:t>于</w:t>
      </w:r>
      <w:r>
        <w:rPr>
          <w:rFonts w:hint="eastAsia" w:ascii="仿宋_GB2312" w:hAnsi="仿宋_GB2312" w:eastAsia="仿宋_GB2312" w:cs="仿宋_GB2312"/>
          <w:sz w:val="32"/>
          <w:szCs w:val="32"/>
          <w:lang w:val="en-US" w:eastAsia="zh-CN"/>
        </w:rPr>
        <w:t>3月30</w:t>
      </w:r>
      <w:r>
        <w:rPr>
          <w:rFonts w:hint="eastAsia" w:ascii="仿宋_GB2312" w:hAnsi="仿宋_GB2312" w:eastAsia="仿宋_GB2312" w:cs="仿宋_GB2312"/>
          <w:sz w:val="32"/>
          <w:szCs w:val="32"/>
          <w:lang w:val="en-US"/>
        </w:rPr>
        <w:t>日前报</w:t>
      </w:r>
      <w:r>
        <w:rPr>
          <w:rFonts w:hint="eastAsia" w:ascii="仿宋_GB2312" w:hAnsi="仿宋_GB2312" w:eastAsia="仿宋_GB2312" w:cs="仿宋_GB2312"/>
          <w:sz w:val="32"/>
          <w:szCs w:val="32"/>
          <w:lang w:val="en-US" w:eastAsia="zh-CN"/>
        </w:rPr>
        <w:t>至各学院，并于6月14日之前把线下教学总结（电子版）报至各学院；各学院汇总后留底，并将总结报教务处教学运行科备案。</w:t>
      </w:r>
    </w:p>
    <w:p>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3.校区选课。各校区负责选课的工作人员要联系到每一个学生，确认本学期课程学习任务，并根据高职扩招人才培养方案要求，使用高职扩招教务管理系统，代学生选课。拟退学不再学习学生要按规定办理退学手续。</w:t>
      </w:r>
      <w:r>
        <w:rPr>
          <w:rFonts w:hint="eastAsia" w:ascii="仿宋_GB2312" w:hAnsi="仿宋_GB2312" w:eastAsia="仿宋_GB2312" w:cs="仿宋_GB2312"/>
          <w:sz w:val="32"/>
          <w:szCs w:val="32"/>
          <w:lang w:val="en-US" w:eastAsia="zh-CN"/>
        </w:rPr>
        <w:t>选课时间为3月7日至3月10日。</w:t>
      </w:r>
    </w:p>
    <w:p>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4.平台学习。学生从</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val="en-US"/>
        </w:rPr>
        <w:t>日起开始登录</w:t>
      </w:r>
      <w:r>
        <w:rPr>
          <w:rFonts w:hint="eastAsia" w:ascii="仿宋_GB2312" w:hAnsi="仿宋_GB2312" w:eastAsia="仿宋_GB2312" w:cs="仿宋_GB2312"/>
          <w:sz w:val="32"/>
          <w:szCs w:val="32"/>
          <w:lang w:val="en-US" w:eastAsia="zh-CN"/>
        </w:rPr>
        <w:t>云上河开</w:t>
      </w:r>
      <w:r>
        <w:rPr>
          <w:rFonts w:hint="eastAsia" w:ascii="仿宋_GB2312" w:hAnsi="仿宋_GB2312" w:eastAsia="仿宋_GB2312" w:cs="仿宋_GB2312"/>
          <w:sz w:val="32"/>
          <w:szCs w:val="32"/>
          <w:lang w:val="en-US"/>
        </w:rPr>
        <w:t>教学平台学习，需要在规定的时间内完成平台上课程学习任务，学习内容包含文本、视频类资源和参与各类教学活动</w:t>
      </w:r>
      <w:r>
        <w:rPr>
          <w:rFonts w:hint="eastAsia" w:ascii="仿宋_GB2312" w:hAnsi="仿宋_GB2312" w:eastAsia="仿宋_GB2312" w:cs="仿宋_GB2312"/>
          <w:sz w:val="32"/>
          <w:szCs w:val="32"/>
          <w:lang w:val="en-US" w:eastAsia="zh-CN"/>
        </w:rPr>
        <w:t>，截止时间为6月14日。</w:t>
      </w:r>
    </w:p>
    <w:p>
      <w:pPr>
        <w:ind w:firstLine="562" w:firstLineChars="200"/>
        <w:jc w:val="left"/>
        <w:rPr>
          <w:rFonts w:hint="eastAsia" w:ascii="黑体" w:hAnsi="黑体" w:eastAsia="黑体" w:cs="黑体"/>
          <w:b/>
          <w:bCs/>
          <w:color w:val="auto"/>
          <w:sz w:val="28"/>
          <w:szCs w:val="28"/>
          <w:lang w:val="en-US"/>
        </w:rPr>
      </w:pPr>
      <w:r>
        <w:rPr>
          <w:rFonts w:hint="eastAsia" w:ascii="黑体" w:hAnsi="黑体" w:eastAsia="黑体" w:cs="黑体"/>
          <w:b/>
          <w:bCs/>
          <w:color w:val="auto"/>
          <w:sz w:val="28"/>
          <w:szCs w:val="28"/>
          <w:lang w:val="en-US"/>
        </w:rPr>
        <w:t>三、考试考核</w:t>
      </w:r>
    </w:p>
    <w:p>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（一）考试与考核</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采用学习过程考核与期末考试相结合的形式进行。学习过程考核主要包括两部分：在学习平台上完成课程规定学习内容，在集中教学和实践教学中积极参与并且完成教师规定学习任务。期末考试有教务处统一组织，采用集中考试的形式，线上考试在省校考试平台进行，线下考试由各校区按照省校各学院下达的考试要求执行。</w:t>
      </w:r>
    </w:p>
    <w:p>
      <w:pPr>
        <w:shd w:val="clear" w:color="auto" w:fill="FFFFFF"/>
        <w:snapToGrid w:val="0"/>
        <w:spacing w:line="360" w:lineRule="auto"/>
        <w:ind w:firstLine="640"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原则上，专业课和思政课</w:t>
      </w:r>
      <w:r>
        <w:rPr>
          <w:rFonts w:hint="eastAsia" w:ascii="仿宋_GB2312" w:hAnsi="仿宋_GB2312" w:eastAsia="仿宋_GB2312" w:cs="仿宋_GB2312"/>
          <w:sz w:val="32"/>
          <w:szCs w:val="32"/>
          <w:lang w:val="en-US" w:eastAsia="zh-CN"/>
        </w:rPr>
        <w:t>（除《形势与政策》外）</w:t>
      </w:r>
      <w:r>
        <w:rPr>
          <w:rFonts w:hint="eastAsia" w:ascii="仿宋_GB2312" w:hAnsi="仿宋_GB2312" w:eastAsia="仿宋_GB2312" w:cs="仿宋_GB2312"/>
          <w:sz w:val="32"/>
          <w:szCs w:val="32"/>
          <w:lang w:val="en-US"/>
        </w:rPr>
        <w:t>学习过程考核与期末考试成绩各占50%，其它公共课和选修课实行100%学习过程考核，具体考核内容和形式由课程责任教师拟定，各学院审核确定，并下达相关校区。</w:t>
      </w:r>
      <w:r>
        <w:rPr>
          <w:rFonts w:hint="eastAsia" w:ascii="仿宋_GB2312" w:hAnsi="仿宋_GB2312" w:eastAsia="仿宋_GB2312" w:cs="仿宋_GB2312"/>
          <w:color w:val="000000"/>
          <w:kern w:val="0"/>
          <w:sz w:val="32"/>
          <w:szCs w:val="32"/>
          <w:lang w:val="en-US" w:eastAsia="zh-CN"/>
        </w:rPr>
        <w:t>除了少量100%形成性考核课程以外，其余课程综合成绩=形成性考核成绩*50％+终结性考试成绩*50％。</w:t>
      </w:r>
      <w:r>
        <w:rPr>
          <w:rFonts w:hint="eastAsia" w:ascii="仿宋_GB2312" w:hAnsi="仿宋_GB2312" w:eastAsia="仿宋_GB2312" w:cs="仿宋_GB2312"/>
          <w:b/>
          <w:bCs/>
          <w:color w:val="000000"/>
          <w:kern w:val="0"/>
          <w:sz w:val="32"/>
          <w:szCs w:val="32"/>
          <w:highlight w:val="none"/>
          <w:lang w:val="en-US" w:eastAsia="zh-CN"/>
        </w:rPr>
        <w:t>所有课程综合成绩60分及以上即为课程合格。</w:t>
      </w:r>
      <w:r>
        <w:rPr>
          <w:rFonts w:hint="eastAsia" w:ascii="仿宋_GB2312" w:hAnsi="仿宋_GB2312" w:eastAsia="仿宋_GB2312" w:cs="仿宋_GB2312"/>
          <w:sz w:val="32"/>
          <w:szCs w:val="32"/>
          <w:lang w:val="en-US"/>
        </w:rPr>
        <w:t>考试具体安排见后续通知。</w:t>
      </w:r>
    </w:p>
    <w:p>
      <w:pPr>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rPr>
        <w:t>（二）学分转换</w:t>
      </w:r>
    </w:p>
    <w:p>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申请免修免考的学生需按照相应专业人才培养方案要求提交相关学习成果进行学分转换。各校区根据高职扩招学分认定和转换实施方案要求，按照各专业转换细则，组织指导学生提交学习成果证明相关材料，并进行初审。初审完毕后，将相关材料报送学分银行管理中心进行学习成果认定，并转换学分。学分银行管理中心将转换后的成绩报送教务处进行</w:t>
      </w:r>
      <w:r>
        <w:rPr>
          <w:rFonts w:hint="eastAsia" w:ascii="仿宋_GB2312" w:hAnsi="仿宋_GB2312" w:eastAsia="仿宋_GB2312" w:cs="仿宋_GB2312"/>
          <w:sz w:val="32"/>
          <w:szCs w:val="32"/>
          <w:lang w:val="en-US" w:eastAsia="zh-CN"/>
        </w:rPr>
        <w:t>最终审核</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学分转换具体安排见后续通知。</w:t>
      </w:r>
    </w:p>
    <w:p>
      <w:pPr>
        <w:ind w:firstLine="562" w:firstLineChars="200"/>
        <w:jc w:val="left"/>
        <w:rPr>
          <w:rFonts w:hint="default" w:ascii="黑体" w:hAnsi="黑体" w:eastAsia="黑体" w:cs="黑体"/>
          <w:b/>
          <w:bCs/>
          <w:sz w:val="28"/>
          <w:szCs w:val="28"/>
          <w:highlight w:val="green"/>
          <w:lang w:val="en-US" w:eastAsia="zh-CN"/>
        </w:rPr>
      </w:pPr>
      <w:r>
        <w:rPr>
          <w:rFonts w:hint="eastAsia" w:ascii="黑体" w:hAnsi="黑体" w:eastAsia="黑体" w:cs="黑体"/>
          <w:b/>
          <w:bCs/>
          <w:sz w:val="28"/>
          <w:szCs w:val="28"/>
          <w:highlight w:val="none"/>
          <w:lang w:val="en-US"/>
        </w:rPr>
        <w:t>四、毕业预审</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color w:val="auto"/>
          <w:sz w:val="32"/>
          <w:szCs w:val="32"/>
          <w:lang w:val="en-US"/>
        </w:rPr>
        <w:t>对于拟申请于202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val="en-US"/>
        </w:rPr>
        <w:t>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val="en-US"/>
        </w:rPr>
        <w:t>月份毕业的2019级</w:t>
      </w:r>
      <w:r>
        <w:rPr>
          <w:rFonts w:hint="eastAsia" w:ascii="仿宋_GB2312" w:hAnsi="仿宋_GB2312" w:eastAsia="仿宋_GB2312" w:cs="仿宋_GB2312"/>
          <w:color w:val="auto"/>
          <w:sz w:val="32"/>
          <w:szCs w:val="32"/>
          <w:lang w:val="en-US" w:eastAsia="zh-CN"/>
        </w:rPr>
        <w:t>、2020级、2021级</w:t>
      </w:r>
      <w:r>
        <w:rPr>
          <w:rFonts w:hint="eastAsia" w:ascii="仿宋_GB2312" w:hAnsi="仿宋_GB2312" w:eastAsia="仿宋_GB2312" w:cs="仿宋_GB2312"/>
          <w:color w:val="auto"/>
          <w:sz w:val="32"/>
          <w:szCs w:val="32"/>
          <w:lang w:val="en-US"/>
        </w:rPr>
        <w:t>学生，各校区要提前</w:t>
      </w:r>
      <w:r>
        <w:rPr>
          <w:rFonts w:hint="eastAsia" w:ascii="仿宋_GB2312" w:hAnsi="仿宋_GB2312" w:eastAsia="仿宋_GB2312" w:cs="仿宋_GB2312"/>
          <w:color w:val="auto"/>
          <w:sz w:val="32"/>
          <w:szCs w:val="32"/>
          <w:lang w:val="en-US" w:eastAsia="zh-CN"/>
        </w:rPr>
        <w:t>2个月</w:t>
      </w:r>
      <w:r>
        <w:rPr>
          <w:rFonts w:hint="eastAsia" w:ascii="仿宋_GB2312" w:hAnsi="仿宋_GB2312" w:eastAsia="仿宋_GB2312" w:cs="仿宋_GB2312"/>
          <w:color w:val="auto"/>
          <w:sz w:val="32"/>
          <w:szCs w:val="32"/>
          <w:lang w:val="en-US"/>
        </w:rPr>
        <w:t>进行毕业预审</w:t>
      </w:r>
      <w:r>
        <w:rPr>
          <w:rFonts w:hint="eastAsia" w:ascii="仿宋_GB2312" w:hAnsi="仿宋_GB2312" w:eastAsia="仿宋_GB2312" w:cs="仿宋_GB2312"/>
          <w:color w:val="auto"/>
          <w:sz w:val="32"/>
          <w:szCs w:val="32"/>
          <w:lang w:val="en-US" w:eastAsia="zh-CN"/>
        </w:rPr>
        <w:t>准备</w:t>
      </w:r>
      <w:r>
        <w:rPr>
          <w:rFonts w:hint="eastAsia" w:ascii="仿宋_GB2312" w:hAnsi="仿宋_GB2312" w:eastAsia="仿宋_GB2312" w:cs="仿宋_GB2312"/>
          <w:color w:val="auto"/>
          <w:sz w:val="32"/>
          <w:szCs w:val="32"/>
          <w:lang w:val="en-US"/>
        </w:rPr>
        <w:t>工作。预审内容主要是对照相应专业人才培养方案毕业要求，重点审核是否能按</w:t>
      </w:r>
      <w:r>
        <w:rPr>
          <w:rFonts w:hint="eastAsia" w:ascii="仿宋_GB2312" w:hAnsi="仿宋_GB2312" w:eastAsia="仿宋_GB2312" w:cs="仿宋_GB2312"/>
          <w:sz w:val="32"/>
          <w:szCs w:val="32"/>
          <w:lang w:val="en-US"/>
        </w:rPr>
        <w:t>时修完专业人才培养方案规定课程，成绩合格，达到培养目标，修够毕业最低学分等。对于拟申请毕业但仍未达到毕业条件的，要明确告知毕业要求和课程学习、补修、考试等安排，并督导其努力达到毕业要求。不能按时毕业的学生需按照弹性学制、滚动学习的原则在规定最长学习年限内完成课程学习。</w:t>
      </w:r>
    </w:p>
    <w:p>
      <w:pPr>
        <w:ind w:firstLine="562" w:firstLineChars="200"/>
        <w:jc w:val="left"/>
        <w:rPr>
          <w:rFonts w:hint="eastAsia" w:ascii="黑体" w:hAnsi="黑体" w:eastAsia="黑体" w:cs="黑体"/>
          <w:b/>
          <w:bCs/>
          <w:sz w:val="28"/>
          <w:szCs w:val="28"/>
          <w:lang w:val="en-US"/>
        </w:rPr>
      </w:pPr>
      <w:r>
        <w:rPr>
          <w:rFonts w:hint="eastAsia" w:ascii="黑体" w:hAnsi="黑体" w:eastAsia="黑体" w:cs="黑体"/>
          <w:b/>
          <w:bCs/>
          <w:sz w:val="28"/>
          <w:szCs w:val="28"/>
          <w:lang w:val="en-US"/>
        </w:rPr>
        <w:t>五、保障措施</w:t>
      </w:r>
    </w:p>
    <w:p>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（一）加强领导。</w:t>
      </w:r>
      <w:r>
        <w:rPr>
          <w:rFonts w:hint="eastAsia" w:ascii="仿宋_GB2312" w:hAnsi="仿宋_GB2312" w:eastAsia="仿宋_GB2312" w:cs="仿宋_GB2312"/>
          <w:sz w:val="32"/>
          <w:szCs w:val="32"/>
          <w:lang w:val="en-US"/>
        </w:rPr>
        <w:t>成立郑州信息科技职业学院高职扩招教学工作领导小组，全面领导高职扩招教学工作。</w:t>
      </w:r>
    </w:p>
    <w:p>
      <w:pPr>
        <w:spacing w:line="360" w:lineRule="auto"/>
        <w:ind w:firstLine="640" w:firstLineChars="200"/>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sz w:val="32"/>
          <w:szCs w:val="32"/>
          <w:lang w:val="en-US"/>
        </w:rPr>
        <w:t>组长</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lang w:val="en-US" w:eastAsia="zh-CN"/>
        </w:rPr>
        <w:t>孙斌</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成员：梁尔涛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朱瑞华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李东辉</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向春枝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姜  河  肖立志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赵  恒  廉  洁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王新生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尚  宏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田俊敏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王记生  </w:t>
      </w:r>
      <w:r>
        <w:rPr>
          <w:rFonts w:hint="eastAsia" w:ascii="仿宋_GB2312" w:hAnsi="仿宋_GB2312" w:eastAsia="仿宋_GB2312" w:cs="仿宋_GB2312"/>
          <w:sz w:val="32"/>
          <w:szCs w:val="32"/>
          <w:lang w:val="en-US" w:eastAsia="zh-CN"/>
        </w:rPr>
        <w:t xml:space="preserve">黄  建 </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  倩  </w:t>
      </w:r>
      <w:r>
        <w:rPr>
          <w:rFonts w:hint="eastAsia" w:ascii="仿宋_GB2312" w:hAnsi="仿宋_GB2312" w:eastAsia="仿宋_GB2312" w:cs="仿宋_GB2312"/>
          <w:sz w:val="32"/>
          <w:szCs w:val="32"/>
          <w:lang w:val="en-US" w:eastAsia="zh-CN"/>
        </w:rPr>
        <w:t>郝绍菊</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各校区分管教务教学的领导</w:t>
      </w:r>
    </w:p>
    <w:p>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lang w:val="en-US"/>
        </w:rPr>
        <w:t>各学院、校区相应成立高职扩招教学工作</w:t>
      </w:r>
      <w:r>
        <w:rPr>
          <w:rFonts w:hint="eastAsia" w:ascii="仿宋_GB2312" w:hAnsi="仿宋_GB2312" w:eastAsia="仿宋_GB2312" w:cs="仿宋_GB2312"/>
          <w:sz w:val="32"/>
          <w:szCs w:val="32"/>
          <w:lang w:val="en-US" w:eastAsia="zh-CN"/>
        </w:rPr>
        <w:t>小组，结合实际制定教学实施方案，推进教学活动有序开展。</w:t>
      </w:r>
    </w:p>
    <w:p>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（二）明确职责。</w:t>
      </w:r>
      <w:r>
        <w:rPr>
          <w:rFonts w:hint="eastAsia" w:ascii="仿宋_GB2312" w:hAnsi="仿宋_GB2312" w:eastAsia="仿宋_GB2312" w:cs="仿宋_GB2312"/>
          <w:sz w:val="32"/>
          <w:szCs w:val="32"/>
          <w:lang w:val="en-US"/>
        </w:rPr>
        <w:t>省校各部门、各学院、各校区要强化责任意识，根据本方案，将每一项工作安排、每一门课程教学具体到人，明确任务和职责，压实责任，保障高职扩招教学工作顺利进行。</w:t>
      </w:r>
    </w:p>
    <w:p>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（三）强化保障。</w:t>
      </w:r>
      <w:r>
        <w:rPr>
          <w:rFonts w:hint="eastAsia" w:ascii="仿宋_GB2312" w:hAnsi="仿宋_GB2312" w:eastAsia="仿宋_GB2312" w:cs="仿宋_GB2312"/>
          <w:sz w:val="32"/>
          <w:szCs w:val="32"/>
          <w:lang w:val="en-US"/>
        </w:rPr>
        <w:t>信息技术与数据管理中心负责技术保障和教学支持服务。资源管理与建设中心负责教学资源建设与保障。质量管理与绩效评估办公室负责教学质量管理与教学检查督导，保障教学质量。</w:t>
      </w:r>
    </w:p>
    <w:p>
      <w:pPr>
        <w:pStyle w:val="2"/>
        <w:spacing w:line="360" w:lineRule="auto"/>
        <w:ind w:left="0" w:firstLine="562" w:firstLineChars="200"/>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六、教学工作联系</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（一）省校各部门、学院教学工作联系人与联系方式见下表：</w:t>
      </w:r>
    </w:p>
    <w:tbl>
      <w:tblPr>
        <w:tblStyle w:val="4"/>
        <w:tblW w:w="92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8"/>
        <w:gridCol w:w="1270"/>
        <w:gridCol w:w="2076"/>
        <w:gridCol w:w="2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3118" w:type="dxa"/>
            <w:noWrap w:val="0"/>
            <w:vAlign w:val="center"/>
          </w:tcPr>
          <w:p>
            <w:pPr>
              <w:jc w:val="center"/>
              <w:rPr>
                <w:rFonts w:hint="eastAsia" w:ascii="宋体" w:hAnsi="宋体" w:eastAsia="宋体" w:cs="宋体"/>
                <w:b/>
                <w:bCs/>
                <w:sz w:val="24"/>
                <w:szCs w:val="24"/>
                <w:lang w:val="en-US"/>
              </w:rPr>
            </w:pPr>
            <w:r>
              <w:rPr>
                <w:rFonts w:hint="eastAsia" w:ascii="宋体" w:hAnsi="宋体" w:eastAsia="宋体" w:cs="宋体"/>
                <w:b/>
                <w:bCs/>
                <w:sz w:val="24"/>
                <w:szCs w:val="24"/>
                <w:lang w:val="en-US"/>
              </w:rPr>
              <w:t>部门</w:t>
            </w:r>
          </w:p>
        </w:tc>
        <w:tc>
          <w:tcPr>
            <w:tcW w:w="1270" w:type="dxa"/>
            <w:noWrap w:val="0"/>
            <w:vAlign w:val="center"/>
          </w:tcPr>
          <w:p>
            <w:pPr>
              <w:jc w:val="center"/>
              <w:rPr>
                <w:rFonts w:hint="eastAsia" w:ascii="宋体" w:hAnsi="宋体" w:eastAsia="宋体" w:cs="宋体"/>
                <w:b/>
                <w:bCs/>
                <w:sz w:val="24"/>
                <w:szCs w:val="24"/>
                <w:lang w:val="en-US"/>
              </w:rPr>
            </w:pPr>
            <w:r>
              <w:rPr>
                <w:rFonts w:hint="eastAsia" w:ascii="宋体" w:hAnsi="宋体" w:eastAsia="宋体" w:cs="宋体"/>
                <w:b/>
                <w:bCs/>
                <w:sz w:val="24"/>
                <w:szCs w:val="24"/>
                <w:lang w:val="en-US"/>
              </w:rPr>
              <w:t>联系人</w:t>
            </w:r>
          </w:p>
        </w:tc>
        <w:tc>
          <w:tcPr>
            <w:tcW w:w="2076" w:type="dxa"/>
            <w:noWrap w:val="0"/>
            <w:vAlign w:val="center"/>
          </w:tcPr>
          <w:p>
            <w:pPr>
              <w:jc w:val="center"/>
              <w:rPr>
                <w:rFonts w:hint="eastAsia" w:ascii="宋体" w:hAnsi="宋体" w:eastAsia="宋体" w:cs="宋体"/>
                <w:b/>
                <w:bCs/>
                <w:sz w:val="24"/>
                <w:szCs w:val="24"/>
                <w:lang w:val="en-US"/>
              </w:rPr>
            </w:pPr>
            <w:r>
              <w:rPr>
                <w:rFonts w:hint="eastAsia" w:ascii="宋体" w:hAnsi="宋体" w:eastAsia="宋体" w:cs="宋体"/>
                <w:b/>
                <w:bCs/>
                <w:sz w:val="24"/>
                <w:szCs w:val="24"/>
                <w:lang w:val="en-US"/>
              </w:rPr>
              <w:t>联系电话</w:t>
            </w:r>
          </w:p>
        </w:tc>
        <w:tc>
          <w:tcPr>
            <w:tcW w:w="2747" w:type="dxa"/>
            <w:noWrap w:val="0"/>
            <w:vAlign w:val="center"/>
          </w:tcPr>
          <w:p>
            <w:pPr>
              <w:jc w:val="center"/>
              <w:rPr>
                <w:rFonts w:hint="eastAsia" w:ascii="宋体" w:hAnsi="宋体" w:eastAsia="宋体" w:cs="宋体"/>
                <w:b/>
                <w:bCs/>
                <w:sz w:val="24"/>
                <w:szCs w:val="24"/>
                <w:lang w:val="en-US"/>
              </w:rPr>
            </w:pPr>
            <w:r>
              <w:rPr>
                <w:rFonts w:hint="eastAsia" w:ascii="宋体" w:hAnsi="宋体" w:eastAsia="宋体" w:cs="宋体"/>
                <w:b/>
                <w:bCs/>
                <w:sz w:val="24"/>
                <w:szCs w:val="24"/>
                <w:lang w:val="en-US"/>
              </w:rPr>
              <w:t>涉及专业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3118" w:type="dxa"/>
            <w:noWrap w:val="0"/>
            <w:vAlign w:val="center"/>
          </w:tcPr>
          <w:p>
            <w:pP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教务处</w:t>
            </w:r>
          </w:p>
        </w:tc>
        <w:tc>
          <w:tcPr>
            <w:tcW w:w="1270" w:type="dxa"/>
            <w:noWrap w:val="0"/>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郝绍菊</w:t>
            </w:r>
          </w:p>
        </w:tc>
        <w:tc>
          <w:tcPr>
            <w:tcW w:w="2076" w:type="dxa"/>
            <w:noWrap w:val="0"/>
            <w:vAlign w:val="center"/>
          </w:tcPr>
          <w:p>
            <w:pPr>
              <w:jc w:val="center"/>
              <w:rPr>
                <w:rFonts w:hint="eastAsia" w:ascii="宋体" w:hAnsi="宋体" w:eastAsia="宋体" w:cs="宋体"/>
                <w:color w:val="auto"/>
                <w:sz w:val="24"/>
                <w:szCs w:val="24"/>
                <w:lang w:val="en-US"/>
              </w:rPr>
            </w:pPr>
            <w:r>
              <w:rPr>
                <w:rFonts w:hint="eastAsia" w:ascii="宋体" w:hAnsi="宋体" w:eastAsia="宋体" w:cs="宋体"/>
                <w:sz w:val="24"/>
                <w:szCs w:val="24"/>
              </w:rPr>
              <w:t>0371-65927719</w:t>
            </w:r>
          </w:p>
        </w:tc>
        <w:tc>
          <w:tcPr>
            <w:tcW w:w="2747" w:type="dxa"/>
            <w:vMerge w:val="restart"/>
            <w:noWrap w:val="0"/>
            <w:vAlign w:val="center"/>
          </w:tcPr>
          <w:p>
            <w:pPr>
              <w:jc w:val="center"/>
              <w:rPr>
                <w:rFonts w:hint="eastAsia" w:ascii="宋体" w:hAnsi="宋体" w:eastAsia="宋体" w:cs="宋体"/>
                <w:color w:val="auto"/>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3118" w:type="dxa"/>
            <w:noWrap w:val="0"/>
            <w:vAlign w:val="center"/>
          </w:tcPr>
          <w:p>
            <w:pPr>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bidi="ar"/>
              </w:rPr>
              <w:t>质量管理与绩效评估办公室</w:t>
            </w:r>
          </w:p>
        </w:tc>
        <w:tc>
          <w:tcPr>
            <w:tcW w:w="1270"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bidi="zh-CN"/>
              </w:rPr>
              <w:t>王青</w:t>
            </w:r>
          </w:p>
        </w:tc>
        <w:tc>
          <w:tcPr>
            <w:tcW w:w="2076" w:type="dxa"/>
            <w:noWrap w:val="0"/>
            <w:vAlign w:val="center"/>
          </w:tcPr>
          <w:p>
            <w:pPr>
              <w:jc w:val="center"/>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rPr>
              <w:t>0371-58525392</w:t>
            </w:r>
          </w:p>
        </w:tc>
        <w:tc>
          <w:tcPr>
            <w:tcW w:w="2747" w:type="dxa"/>
            <w:vMerge w:val="continue"/>
            <w:noWrap w:val="0"/>
            <w:vAlign w:val="center"/>
          </w:tcPr>
          <w:p>
            <w:pPr>
              <w:jc w:val="center"/>
              <w:rPr>
                <w:rFonts w:hint="eastAsia" w:ascii="宋体" w:hAnsi="宋体" w:eastAsia="宋体" w:cs="宋体"/>
                <w:color w:val="auto"/>
                <w:sz w:val="24"/>
                <w:szCs w:val="24"/>
                <w:lang w:val="en-US"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118" w:type="dxa"/>
            <w:noWrap w:val="0"/>
            <w:vAlign w:val="center"/>
          </w:tcPr>
          <w:p>
            <w:pP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信息技术与数据管理中心</w:t>
            </w:r>
          </w:p>
        </w:tc>
        <w:tc>
          <w:tcPr>
            <w:tcW w:w="1270" w:type="dxa"/>
            <w:noWrap w:val="0"/>
            <w:vAlign w:val="center"/>
          </w:tcPr>
          <w:p>
            <w:pPr>
              <w:jc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张凯</w:t>
            </w:r>
          </w:p>
        </w:tc>
        <w:tc>
          <w:tcPr>
            <w:tcW w:w="2076" w:type="dxa"/>
            <w:noWrap w:val="0"/>
            <w:vAlign w:val="center"/>
          </w:tcPr>
          <w:p>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0371-585258</w:t>
            </w:r>
            <w:r>
              <w:rPr>
                <w:rFonts w:hint="eastAsia" w:ascii="宋体" w:hAnsi="宋体" w:cs="宋体"/>
                <w:color w:val="auto"/>
                <w:sz w:val="24"/>
                <w:szCs w:val="24"/>
                <w:lang w:val="en-US" w:eastAsia="zh-CN"/>
              </w:rPr>
              <w:t>58</w:t>
            </w:r>
            <w:bookmarkStart w:id="0" w:name="_GoBack"/>
            <w:bookmarkEnd w:id="0"/>
          </w:p>
        </w:tc>
        <w:tc>
          <w:tcPr>
            <w:tcW w:w="2747" w:type="dxa"/>
            <w:vMerge w:val="continue"/>
            <w:noWrap w:val="0"/>
            <w:vAlign w:val="center"/>
          </w:tcPr>
          <w:p>
            <w:pPr>
              <w:jc w:val="center"/>
              <w:rPr>
                <w:rFonts w:hint="eastAsia" w:ascii="宋体" w:hAnsi="宋体" w:eastAsia="宋体" w:cs="宋体"/>
                <w:color w:val="auto"/>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3118" w:type="dxa"/>
            <w:noWrap w:val="0"/>
            <w:vAlign w:val="center"/>
          </w:tcPr>
          <w:p>
            <w:pP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资源管理与建设中心</w:t>
            </w:r>
          </w:p>
        </w:tc>
        <w:tc>
          <w:tcPr>
            <w:tcW w:w="1270" w:type="dxa"/>
            <w:noWrap w:val="0"/>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李娟</w:t>
            </w:r>
          </w:p>
        </w:tc>
        <w:tc>
          <w:tcPr>
            <w:tcW w:w="2076"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0371-58525908</w:t>
            </w:r>
          </w:p>
        </w:tc>
        <w:tc>
          <w:tcPr>
            <w:tcW w:w="2747" w:type="dxa"/>
            <w:vMerge w:val="continue"/>
            <w:noWrap w:val="0"/>
            <w:vAlign w:val="center"/>
          </w:tcPr>
          <w:p>
            <w:pPr>
              <w:jc w:val="center"/>
              <w:rPr>
                <w:rFonts w:hint="eastAsia" w:ascii="宋体" w:hAnsi="宋体" w:eastAsia="宋体" w:cs="宋体"/>
                <w:color w:val="auto"/>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3118" w:type="dxa"/>
            <w:noWrap w:val="0"/>
            <w:vAlign w:val="center"/>
          </w:tcPr>
          <w:p>
            <w:pPr>
              <w:widowControl/>
              <w:textAlignment w:val="center"/>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bidi="ar"/>
              </w:rPr>
              <w:t>学分银行管理中心</w:t>
            </w:r>
          </w:p>
        </w:tc>
        <w:tc>
          <w:tcPr>
            <w:tcW w:w="1270"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rPr>
              <w:t>邵志刚</w:t>
            </w:r>
          </w:p>
        </w:tc>
        <w:tc>
          <w:tcPr>
            <w:tcW w:w="2076" w:type="dxa"/>
            <w:noWrap w:val="0"/>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0371-56055111</w:t>
            </w:r>
          </w:p>
        </w:tc>
        <w:tc>
          <w:tcPr>
            <w:tcW w:w="2747" w:type="dxa"/>
            <w:vMerge w:val="continue"/>
            <w:noWrap w:val="0"/>
            <w:vAlign w:val="center"/>
          </w:tcPr>
          <w:p>
            <w:pPr>
              <w:jc w:val="center"/>
              <w:rPr>
                <w:rFonts w:hint="eastAsia" w:ascii="宋体" w:hAnsi="宋体" w:eastAsia="宋体" w:cs="宋体"/>
                <w:color w:val="auto"/>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3118" w:type="dxa"/>
            <w:noWrap w:val="0"/>
            <w:vAlign w:val="center"/>
          </w:tcPr>
          <w:p>
            <w:pPr>
              <w:widowControl/>
              <w:textAlignment w:val="center"/>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bidi="ar"/>
              </w:rPr>
              <w:t>信息工程与人工智能学院</w:t>
            </w:r>
          </w:p>
        </w:tc>
        <w:tc>
          <w:tcPr>
            <w:tcW w:w="1270" w:type="dxa"/>
            <w:noWrap w:val="0"/>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袁正道</w:t>
            </w:r>
          </w:p>
          <w:p>
            <w:pPr>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邹香玲</w:t>
            </w:r>
          </w:p>
        </w:tc>
        <w:tc>
          <w:tcPr>
            <w:tcW w:w="2076" w:type="dxa"/>
            <w:noWrap w:val="0"/>
            <w:vAlign w:val="center"/>
          </w:tcPr>
          <w:p>
            <w:pPr>
              <w:jc w:val="center"/>
              <w:rPr>
                <w:rFonts w:hint="eastAsia" w:ascii="宋体" w:hAnsi="宋体" w:eastAsia="宋体" w:cs="宋体"/>
                <w:color w:val="auto"/>
                <w:sz w:val="24"/>
                <w:szCs w:val="24"/>
                <w:lang w:val="en-US"/>
              </w:rPr>
            </w:pPr>
            <w:r>
              <w:rPr>
                <w:rFonts w:hint="eastAsia" w:ascii="宋体" w:hAnsi="宋体" w:eastAsia="宋体" w:cs="宋体"/>
                <w:color w:val="auto"/>
                <w:sz w:val="24"/>
                <w:szCs w:val="24"/>
              </w:rPr>
              <w:t>0371-58525359</w:t>
            </w:r>
          </w:p>
        </w:tc>
        <w:tc>
          <w:tcPr>
            <w:tcW w:w="2747" w:type="dxa"/>
            <w:noWrap w:val="0"/>
            <w:vAlign w:val="center"/>
          </w:tcPr>
          <w:p>
            <w:pPr>
              <w:pStyle w:val="7"/>
              <w:spacing w:before="81"/>
              <w:ind w:left="97"/>
              <w:jc w:val="cente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移动通信技术、物联网应用技术、计算机应用技术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noWrap w:val="0"/>
            <w:vAlign w:val="center"/>
          </w:tcPr>
          <w:p>
            <w:pPr>
              <w:widowControl/>
              <w:textAlignment w:val="center"/>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bidi="ar"/>
              </w:rPr>
              <w:t>机电工程与智能制造学院</w:t>
            </w:r>
          </w:p>
        </w:tc>
        <w:tc>
          <w:tcPr>
            <w:tcW w:w="1270" w:type="dxa"/>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赵娅</w:t>
            </w:r>
          </w:p>
          <w:p>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闫胜男</w:t>
            </w:r>
          </w:p>
        </w:tc>
        <w:tc>
          <w:tcPr>
            <w:tcW w:w="2076" w:type="dxa"/>
            <w:noWrap w:val="0"/>
            <w:vAlign w:val="center"/>
          </w:tcPr>
          <w:p>
            <w:pPr>
              <w:jc w:val="center"/>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0371-58525595</w:t>
            </w:r>
          </w:p>
        </w:tc>
        <w:tc>
          <w:tcPr>
            <w:tcW w:w="2747" w:type="dxa"/>
            <w:noWrap w:val="0"/>
            <w:vAlign w:val="center"/>
          </w:tcPr>
          <w:p>
            <w:pPr>
              <w:pStyle w:val="7"/>
              <w:spacing w:before="79" w:line="364" w:lineRule="auto"/>
              <w:ind w:left="97" w:right="176"/>
              <w:jc w:val="center"/>
              <w:rPr>
                <w:rFonts w:hint="eastAsia" w:ascii="宋体" w:hAnsi="宋体" w:eastAsia="宋体" w:cs="宋体"/>
                <w:color w:val="auto"/>
                <w:sz w:val="24"/>
                <w:szCs w:val="24"/>
                <w:highlight w:val="none"/>
                <w:lang w:val="en-US" w:bidi="ar"/>
              </w:rPr>
            </w:pPr>
            <w:r>
              <w:rPr>
                <w:rFonts w:hint="eastAsia" w:ascii="宋体" w:hAnsi="宋体" w:eastAsia="宋体" w:cs="宋体"/>
                <w:color w:val="auto"/>
                <w:sz w:val="24"/>
                <w:szCs w:val="24"/>
                <w:highlight w:val="none"/>
                <w:lang w:val="en-US" w:bidi="ar"/>
              </w:rPr>
              <w:t>工业机器人技术、汽车检测与维修技术、机电一体化技术、新能源汽车技术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noWrap w:val="0"/>
            <w:vAlign w:val="center"/>
          </w:tcPr>
          <w:p>
            <w:pPr>
              <w:widowControl/>
              <w:textAlignment w:val="center"/>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bidi="ar"/>
              </w:rPr>
              <w:t>建筑工程与智能建造学院</w:t>
            </w:r>
          </w:p>
        </w:tc>
        <w:tc>
          <w:tcPr>
            <w:tcW w:w="1270" w:type="dxa"/>
            <w:noWrap w:val="0"/>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马潇潇</w:t>
            </w:r>
          </w:p>
          <w:p>
            <w:pPr>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宋浩静</w:t>
            </w:r>
          </w:p>
        </w:tc>
        <w:tc>
          <w:tcPr>
            <w:tcW w:w="2076" w:type="dxa"/>
            <w:noWrap w:val="0"/>
            <w:vAlign w:val="center"/>
          </w:tcPr>
          <w:p>
            <w:pPr>
              <w:jc w:val="center"/>
              <w:rPr>
                <w:rFonts w:hint="eastAsia" w:ascii="宋体" w:hAnsi="宋体" w:eastAsia="宋体" w:cs="宋体"/>
                <w:color w:val="auto"/>
                <w:sz w:val="24"/>
                <w:szCs w:val="24"/>
                <w:lang w:val="en-US"/>
              </w:rPr>
            </w:pPr>
            <w:r>
              <w:rPr>
                <w:rFonts w:hint="eastAsia" w:ascii="宋体" w:hAnsi="宋体" w:eastAsia="宋体" w:cs="宋体"/>
                <w:color w:val="auto"/>
                <w:sz w:val="24"/>
                <w:szCs w:val="24"/>
              </w:rPr>
              <w:t>0371-58525310</w:t>
            </w:r>
          </w:p>
        </w:tc>
        <w:tc>
          <w:tcPr>
            <w:tcW w:w="2747" w:type="dxa"/>
            <w:noWrap w:val="0"/>
            <w:vAlign w:val="center"/>
          </w:tcPr>
          <w:p>
            <w:pPr>
              <w:widowControl/>
              <w:jc w:val="center"/>
              <w:textAlignment w:val="cente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工程造价、建筑工程技术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noWrap w:val="0"/>
            <w:vAlign w:val="center"/>
          </w:tcPr>
          <w:p>
            <w:pPr>
              <w:widowControl/>
              <w:textAlignment w:val="center"/>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bidi="ar"/>
              </w:rPr>
              <w:t>人文与设计学院</w:t>
            </w:r>
          </w:p>
        </w:tc>
        <w:tc>
          <w:tcPr>
            <w:tcW w:w="1270" w:type="dxa"/>
            <w:noWrap w:val="0"/>
            <w:vAlign w:val="center"/>
          </w:tcPr>
          <w:p>
            <w:pPr>
              <w:jc w:val="center"/>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于秀</w:t>
            </w:r>
          </w:p>
          <w:p>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李萌欣</w:t>
            </w:r>
          </w:p>
        </w:tc>
        <w:tc>
          <w:tcPr>
            <w:tcW w:w="2076" w:type="dxa"/>
            <w:noWrap w:val="0"/>
            <w:vAlign w:val="center"/>
          </w:tcPr>
          <w:p>
            <w:pPr>
              <w:jc w:val="center"/>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0371-58525507</w:t>
            </w:r>
          </w:p>
        </w:tc>
        <w:tc>
          <w:tcPr>
            <w:tcW w:w="2747" w:type="dxa"/>
            <w:noWrap w:val="0"/>
            <w:vAlign w:val="center"/>
          </w:tcPr>
          <w:p>
            <w:pPr>
              <w:pStyle w:val="7"/>
              <w:spacing w:before="79"/>
              <w:ind w:left="97"/>
              <w:jc w:val="center"/>
              <w:rPr>
                <w:rFonts w:hint="eastAsia" w:ascii="宋体" w:hAnsi="宋体" w:eastAsia="宋体" w:cs="宋体"/>
                <w:color w:val="auto"/>
                <w:sz w:val="24"/>
                <w:szCs w:val="24"/>
                <w:highlight w:val="none"/>
                <w:lang w:val="en-US" w:bidi="ar"/>
              </w:rPr>
            </w:pPr>
            <w:r>
              <w:rPr>
                <w:rFonts w:hint="eastAsia" w:ascii="宋体" w:hAnsi="宋体" w:eastAsia="宋体" w:cs="宋体"/>
                <w:color w:val="auto"/>
                <w:sz w:val="24"/>
                <w:szCs w:val="24"/>
                <w:highlight w:val="none"/>
                <w:lang w:val="en-US" w:bidi="ar"/>
              </w:rPr>
              <w:t>新闻采编与制作、文秘、行政管理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noWrap w:val="0"/>
            <w:vAlign w:val="center"/>
          </w:tcPr>
          <w:p>
            <w:pPr>
              <w:widowControl/>
              <w:textAlignment w:val="center"/>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bidi="ar"/>
              </w:rPr>
              <w:t>工商与财会学院</w:t>
            </w:r>
          </w:p>
        </w:tc>
        <w:tc>
          <w:tcPr>
            <w:tcW w:w="1270"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张薇</w:t>
            </w:r>
          </w:p>
          <w:p>
            <w:pPr>
              <w:jc w:val="center"/>
              <w:rPr>
                <w:rFonts w:hint="default" w:ascii="宋体" w:hAnsi="宋体" w:eastAsia="宋体" w:cs="宋体"/>
                <w:color w:val="auto"/>
                <w:sz w:val="24"/>
                <w:szCs w:val="24"/>
                <w:lang w:val="en-US" w:eastAsia="zh-CN"/>
              </w:rPr>
            </w:pPr>
            <w:r>
              <w:rPr>
                <w:rFonts w:ascii="宋体" w:hAnsi="宋体" w:eastAsia="宋体" w:cs="宋体"/>
                <w:sz w:val="24"/>
                <w:szCs w:val="24"/>
              </w:rPr>
              <w:t>荆嵋</w:t>
            </w:r>
          </w:p>
        </w:tc>
        <w:tc>
          <w:tcPr>
            <w:tcW w:w="2076" w:type="dxa"/>
            <w:noWrap w:val="0"/>
            <w:vAlign w:val="center"/>
          </w:tcPr>
          <w:p>
            <w:pPr>
              <w:jc w:val="center"/>
              <w:rPr>
                <w:rFonts w:hint="eastAsia" w:ascii="宋体" w:hAnsi="宋体" w:eastAsia="宋体" w:cs="宋体"/>
                <w:color w:val="auto"/>
                <w:sz w:val="24"/>
                <w:szCs w:val="24"/>
                <w:lang w:val="en-US"/>
              </w:rPr>
            </w:pPr>
            <w:r>
              <w:rPr>
                <w:rFonts w:hint="eastAsia" w:ascii="宋体" w:hAnsi="宋体" w:eastAsia="宋体" w:cs="宋体"/>
                <w:color w:val="auto"/>
                <w:sz w:val="24"/>
                <w:szCs w:val="24"/>
              </w:rPr>
              <w:t>0371-58525318</w:t>
            </w:r>
          </w:p>
        </w:tc>
        <w:tc>
          <w:tcPr>
            <w:tcW w:w="2747" w:type="dxa"/>
            <w:noWrap w:val="0"/>
            <w:vAlign w:val="center"/>
          </w:tcPr>
          <w:p>
            <w:pPr>
              <w:pStyle w:val="7"/>
              <w:spacing w:before="79"/>
              <w:ind w:left="97" w:right="-15"/>
              <w:jc w:val="cente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工商企业管理、酒店管理、电子商务、市场营销、会计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noWrap w:val="0"/>
            <w:vAlign w:val="center"/>
          </w:tcPr>
          <w:p>
            <w:pPr>
              <w:widowControl/>
              <w:textAlignment w:val="cente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乡村振兴学院</w:t>
            </w:r>
          </w:p>
        </w:tc>
        <w:tc>
          <w:tcPr>
            <w:tcW w:w="1270" w:type="dxa"/>
            <w:noWrap w:val="0"/>
            <w:vAlign w:val="center"/>
          </w:tcPr>
          <w:p>
            <w:pPr>
              <w:jc w:val="center"/>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rPr>
              <w:t>李文泽</w:t>
            </w:r>
          </w:p>
          <w:p>
            <w:pPr>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刘萱</w:t>
            </w:r>
          </w:p>
        </w:tc>
        <w:tc>
          <w:tcPr>
            <w:tcW w:w="2076"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0371-58525358</w:t>
            </w:r>
          </w:p>
        </w:tc>
        <w:tc>
          <w:tcPr>
            <w:tcW w:w="2747" w:type="dxa"/>
            <w:noWrap w:val="0"/>
            <w:vAlign w:val="center"/>
          </w:tcPr>
          <w:p>
            <w:pPr>
              <w:widowControl/>
              <w:jc w:val="center"/>
              <w:textAlignment w:val="center"/>
              <w:rPr>
                <w:rFonts w:hint="eastAsia" w:ascii="宋体" w:hAnsi="宋体" w:eastAsia="宋体" w:cs="宋体"/>
                <w:color w:val="auto"/>
                <w:sz w:val="24"/>
                <w:szCs w:val="24"/>
                <w:lang w:val="en-US" w:bidi="ar"/>
              </w:rPr>
            </w:pPr>
            <w:r>
              <w:rPr>
                <w:rFonts w:hint="eastAsia" w:ascii="宋体" w:hAnsi="宋体" w:eastAsia="宋体" w:cs="宋体"/>
                <w:color w:val="auto"/>
                <w:sz w:val="24"/>
                <w:szCs w:val="24"/>
                <w:lang w:val="en-US" w:bidi="ar"/>
              </w:rPr>
              <w:t>农村经营管理</w:t>
            </w:r>
          </w:p>
        </w:tc>
      </w:tr>
    </w:tbl>
    <w:p>
      <w:pPr>
        <w:rPr>
          <w:rFonts w:hint="eastAsia"/>
          <w:color w:val="auto"/>
          <w:sz w:val="28"/>
          <w:szCs w:val="28"/>
          <w:lang w:val="en-US"/>
        </w:rPr>
      </w:pP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（二）各校区教学工作联系人与联系方式</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3350"/>
        <w:gridCol w:w="2217"/>
        <w:gridCol w:w="2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highlight w:val="none"/>
                <w:u w:val="none"/>
                <w:lang w:val="en-US" w:eastAsia="zh-CN" w:bidi="ar"/>
              </w:rPr>
            </w:pPr>
            <w:r>
              <w:rPr>
                <w:rFonts w:hint="eastAsia" w:eastAsia="宋体" w:cs="宋体"/>
                <w:b/>
                <w:bCs/>
                <w:i w:val="0"/>
                <w:iCs w:val="0"/>
                <w:color w:val="000000"/>
                <w:kern w:val="0"/>
                <w:sz w:val="24"/>
                <w:szCs w:val="24"/>
                <w:highlight w:val="none"/>
                <w:u w:val="none"/>
                <w:lang w:val="en-US" w:eastAsia="zh-CN" w:bidi="ar"/>
              </w:rPr>
              <w:t>序号</w:t>
            </w:r>
          </w:p>
        </w:tc>
        <w:tc>
          <w:tcPr>
            <w:tcW w:w="3350" w:type="dxa"/>
            <w:noWrap w:val="0"/>
            <w:vAlign w:val="bottom"/>
          </w:tcPr>
          <w:p>
            <w:pPr>
              <w:keepNext w:val="0"/>
              <w:keepLines w:val="0"/>
              <w:widowControl/>
              <w:suppressLineNumbers w:val="0"/>
              <w:jc w:val="center"/>
              <w:textAlignment w:val="bottom"/>
              <w:rPr>
                <w:rFonts w:hint="default" w:ascii="宋体" w:hAnsi="宋体" w:eastAsia="宋体" w:cs="宋体"/>
                <w:b/>
                <w:bCs/>
                <w:i w:val="0"/>
                <w:iCs w:val="0"/>
                <w:color w:val="000000"/>
                <w:kern w:val="0"/>
                <w:sz w:val="24"/>
                <w:szCs w:val="24"/>
                <w:highlight w:val="none"/>
                <w:u w:val="none"/>
                <w:lang w:val="en-US" w:eastAsia="zh-CN" w:bidi="ar"/>
              </w:rPr>
            </w:pPr>
            <w:r>
              <w:rPr>
                <w:rFonts w:hint="eastAsia" w:eastAsia="宋体" w:cs="宋体"/>
                <w:b/>
                <w:bCs/>
                <w:i w:val="0"/>
                <w:iCs w:val="0"/>
                <w:color w:val="000000"/>
                <w:kern w:val="0"/>
                <w:sz w:val="24"/>
                <w:szCs w:val="24"/>
                <w:highlight w:val="none"/>
                <w:u w:val="none"/>
                <w:lang w:val="en-US" w:eastAsia="zh-CN" w:bidi="ar"/>
              </w:rPr>
              <w:t>校区</w:t>
            </w:r>
          </w:p>
        </w:tc>
        <w:tc>
          <w:tcPr>
            <w:tcW w:w="2217" w:type="dxa"/>
            <w:noWrap w:val="0"/>
            <w:vAlign w:val="bottom"/>
          </w:tcPr>
          <w:p>
            <w:pPr>
              <w:keepNext w:val="0"/>
              <w:keepLines w:val="0"/>
              <w:widowControl/>
              <w:suppressLineNumbers w:val="0"/>
              <w:jc w:val="center"/>
              <w:textAlignment w:val="bottom"/>
              <w:rPr>
                <w:rFonts w:hint="default" w:ascii="宋体" w:hAnsi="宋体" w:eastAsia="宋体" w:cs="宋体"/>
                <w:b/>
                <w:bCs/>
                <w:i w:val="0"/>
                <w:iCs w:val="0"/>
                <w:color w:val="000000"/>
                <w:kern w:val="0"/>
                <w:sz w:val="24"/>
                <w:szCs w:val="24"/>
                <w:highlight w:val="none"/>
                <w:u w:val="none"/>
                <w:lang w:val="en-US" w:eastAsia="zh-CN" w:bidi="ar"/>
              </w:rPr>
            </w:pPr>
            <w:r>
              <w:rPr>
                <w:rFonts w:hint="eastAsia" w:eastAsia="宋体" w:cs="宋体"/>
                <w:b/>
                <w:bCs/>
                <w:i w:val="0"/>
                <w:iCs w:val="0"/>
                <w:color w:val="000000"/>
                <w:kern w:val="0"/>
                <w:sz w:val="24"/>
                <w:szCs w:val="24"/>
                <w:highlight w:val="none"/>
                <w:u w:val="none"/>
                <w:lang w:val="en-US" w:eastAsia="zh-CN" w:bidi="ar"/>
              </w:rPr>
              <w:t>教务联系人</w:t>
            </w:r>
          </w:p>
        </w:tc>
        <w:tc>
          <w:tcPr>
            <w:tcW w:w="2429" w:type="dxa"/>
            <w:noWrap w:val="0"/>
            <w:vAlign w:val="bottom"/>
          </w:tcPr>
          <w:p>
            <w:pPr>
              <w:keepNext w:val="0"/>
              <w:keepLines w:val="0"/>
              <w:widowControl/>
              <w:suppressLineNumbers w:val="0"/>
              <w:jc w:val="center"/>
              <w:textAlignment w:val="bottom"/>
              <w:rPr>
                <w:rFonts w:hint="default" w:ascii="宋体" w:hAnsi="宋体" w:eastAsia="宋体" w:cs="宋体"/>
                <w:b/>
                <w:bCs/>
                <w:i w:val="0"/>
                <w:iCs w:val="0"/>
                <w:color w:val="000000"/>
                <w:kern w:val="0"/>
                <w:sz w:val="24"/>
                <w:szCs w:val="24"/>
                <w:highlight w:val="none"/>
                <w:u w:val="none"/>
                <w:lang w:val="en-US" w:eastAsia="zh-CN" w:bidi="ar"/>
              </w:rPr>
            </w:pPr>
            <w:r>
              <w:rPr>
                <w:rFonts w:hint="eastAsia" w:eastAsia="宋体" w:cs="宋体"/>
                <w:b/>
                <w:bCs/>
                <w:i w:val="0"/>
                <w:iCs w:val="0"/>
                <w:color w:val="000000"/>
                <w:kern w:val="0"/>
                <w:sz w:val="24"/>
                <w:szCs w:val="24"/>
                <w:highlight w:val="none"/>
                <w:u w:val="none"/>
                <w:lang w:val="en-US" w:eastAsia="zh-CN" w:bidi="ar"/>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安阳校区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田利芹</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0372-3395592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2</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鹤壁校区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沈向阳</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0392-3318133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3</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济源校区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王茜</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15938179870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4</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建业校区（培训学院）</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陈中良</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13253553355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5</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焦作校区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马美珍</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0391-2985205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6</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开封校区（培训学院）</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王永贵</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13949421788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7</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洛阳校区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庆海涛</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0379-65955736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8</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漯河校区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王国立</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0395-2967283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9</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南阳校区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桑晓飞</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0377-63118856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10</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培训学院总负责</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王芳</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0371-86113238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11</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平顶山校区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魏尚丽</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0375-7662379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12</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濮阳校区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何玉霞</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0393-4848194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13</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商丘校区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宋玉璞</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0370-3182265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14</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省直校区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黄潭秋</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0371-65933200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15</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睢县校区（培训学院）</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邢志东</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13598393968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16</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新乡校区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靳小红</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0373-3053270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17</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信阳校区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杨坷巍</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13723139996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18</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永城校区（培训学院）</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马传伟</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0370-5017777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19</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郑州龙子湖校区（乡村振兴）</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刘萱</w:t>
            </w:r>
          </w:p>
        </w:tc>
        <w:tc>
          <w:tcPr>
            <w:tcW w:w="2429"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ascii="宋体" w:hAnsi="宋体" w:eastAsia="宋体" w:cs="宋体"/>
                <w:sz w:val="24"/>
                <w:szCs w:val="24"/>
              </w:rPr>
              <w:t>0371-58525335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20</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郑州龙子湖校区（机电）</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任天乐</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0371-58525590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21</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郑州龙子湖校区（信工）</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高童迪</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0371-58525362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22</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郑州校区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陈改芬</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0371-60981220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dxa"/>
            <w:noWrap w:val="0"/>
            <w:vAlign w:val="center"/>
          </w:tcPr>
          <w:p>
            <w:pPr>
              <w:keepNext w:val="0"/>
              <w:keepLines w:val="0"/>
              <w:widowControl/>
              <w:suppressLineNumbers w:val="0"/>
              <w:jc w:val="center"/>
              <w:textAlignment w:val="center"/>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23</w:t>
            </w:r>
          </w:p>
        </w:tc>
        <w:tc>
          <w:tcPr>
            <w:tcW w:w="3350"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周口校区</w:t>
            </w:r>
          </w:p>
        </w:tc>
        <w:tc>
          <w:tcPr>
            <w:tcW w:w="2217"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王晓卫</w:t>
            </w:r>
          </w:p>
        </w:tc>
        <w:tc>
          <w:tcPr>
            <w:tcW w:w="2429" w:type="dxa"/>
            <w:noWrap w:val="0"/>
            <w:vAlign w:val="bottom"/>
          </w:tcPr>
          <w:p>
            <w:pPr>
              <w:keepNext w:val="0"/>
              <w:keepLines w:val="0"/>
              <w:widowControl/>
              <w:suppressLineNumbers w:val="0"/>
              <w:jc w:val="center"/>
              <w:textAlignment w:val="bottom"/>
              <w:rPr>
                <w:rFonts w:hint="eastAsia"/>
                <w:color w:val="FF0000"/>
                <w:sz w:val="24"/>
                <w:szCs w:val="24"/>
                <w:highlight w:val="none"/>
                <w:vertAlign w:val="baseline"/>
                <w:lang w:val="en-US"/>
              </w:rPr>
            </w:pPr>
            <w:r>
              <w:rPr>
                <w:rFonts w:hint="eastAsia" w:ascii="宋体" w:hAnsi="宋体" w:eastAsia="宋体" w:cs="宋体"/>
                <w:i w:val="0"/>
                <w:iCs w:val="0"/>
                <w:color w:val="000000"/>
                <w:kern w:val="0"/>
                <w:sz w:val="24"/>
                <w:szCs w:val="24"/>
                <w:highlight w:val="none"/>
                <w:u w:val="none"/>
                <w:lang w:val="en-US" w:eastAsia="zh-CN" w:bidi="ar"/>
              </w:rPr>
              <w:t>15516777185</w:t>
            </w:r>
          </w:p>
        </w:tc>
      </w:tr>
    </w:tbl>
    <w:p>
      <w:pPr>
        <w:rPr>
          <w:rFonts w:hint="eastAsia"/>
          <w:color w:val="FF0000"/>
          <w:sz w:val="28"/>
          <w:szCs w:val="28"/>
          <w:lang w:val="en-US"/>
        </w:rPr>
      </w:pPr>
    </w:p>
    <w:p>
      <w:pPr>
        <w:rPr>
          <w:rFonts w:hint="eastAsia"/>
          <w:color w:val="FF0000"/>
          <w:sz w:val="28"/>
          <w:szCs w:val="28"/>
          <w:lang w:val="en-US"/>
        </w:rPr>
      </w:pPr>
    </w:p>
    <w:p>
      <w:pPr>
        <w:spacing w:line="360" w:lineRule="auto"/>
        <w:ind w:firstLine="560" w:firstLineChars="200"/>
        <w:rPr>
          <w:rFonts w:hint="eastAsia" w:ascii="仿宋_GB2312" w:hAnsi="仿宋_GB2312" w:eastAsia="仿宋_GB2312" w:cs="仿宋_GB2312"/>
          <w:sz w:val="32"/>
          <w:szCs w:val="32"/>
          <w:lang w:val="en-US" w:eastAsia="zh-CN"/>
        </w:rPr>
      </w:pPr>
      <w:r>
        <w:rPr>
          <w:rFonts w:hint="eastAsia"/>
          <w:color w:val="auto"/>
          <w:sz w:val="28"/>
          <w:szCs w:val="28"/>
          <w:lang w:val="en-US" w:eastAsia="zh-CN"/>
        </w:rPr>
        <w:t xml:space="preserve">                                    </w:t>
      </w:r>
      <w:r>
        <w:rPr>
          <w:rFonts w:hint="eastAsia"/>
          <w:b w:val="0"/>
          <w:bCs w:val="0"/>
          <w:color w:val="auto"/>
          <w:sz w:val="28"/>
          <w:szCs w:val="28"/>
          <w:lang w:val="en-US" w:eastAsia="zh-CN"/>
        </w:rPr>
        <w:t xml:space="preserve">        </w:t>
      </w:r>
      <w:r>
        <w:rPr>
          <w:rFonts w:hint="eastAsia" w:ascii="仿宋_GB2312" w:hAnsi="仿宋_GB2312" w:eastAsia="仿宋_GB2312" w:cs="仿宋_GB2312"/>
          <w:sz w:val="32"/>
          <w:szCs w:val="32"/>
          <w:lang w:val="en-US" w:eastAsia="zh-CN"/>
        </w:rPr>
        <w:t xml:space="preserve"> 教务处</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2024年2月29日</w:t>
      </w:r>
    </w:p>
    <w:p>
      <w:pPr>
        <w:spacing w:line="360" w:lineRule="auto"/>
        <w:ind w:firstLine="640" w:firstLineChars="200"/>
        <w:rPr>
          <w:rFonts w:hint="eastAsia" w:ascii="仿宋_GB2312" w:hAnsi="仿宋_GB2312" w:eastAsia="仿宋_GB2312" w:cs="仿宋_GB2312"/>
          <w:sz w:val="32"/>
          <w:szCs w:val="32"/>
          <w:lang w:val="en-US"/>
        </w:rPr>
      </w:pPr>
    </w:p>
    <w:p/>
    <w:sectPr>
      <w:footerReference r:id="rId3" w:type="default"/>
      <w:pgSz w:w="11906" w:h="16838"/>
      <w:pgMar w:top="1701" w:right="1531" w:bottom="1984" w:left="1531" w:header="851" w:footer="992" w:gutter="0"/>
      <w:pgNumType w:fmt="numberInDash" w:start="1"/>
      <w:cols w:space="720" w:num="1"/>
      <w:docGrid w:type="lines" w:linePitch="45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67FEE5-7F89-4FED-AD28-8F7C3263020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方正小标宋简体">
    <w:panose1 w:val="02000000000000000000"/>
    <w:charset w:val="86"/>
    <w:family w:val="script"/>
    <w:pitch w:val="default"/>
    <w:sig w:usb0="00000001" w:usb1="08000000" w:usb2="00000000" w:usb3="00000000" w:csb0="00040000" w:csb1="00000000"/>
    <w:embedRegular r:id="rId2" w:fontKey="{4FCD5475-48F0-4CBB-86E1-1B448A3153B2}"/>
  </w:font>
  <w:font w:name="仿宋_GB2312">
    <w:panose1 w:val="02010609030101010101"/>
    <w:charset w:val="86"/>
    <w:family w:val="modern"/>
    <w:pitch w:val="default"/>
    <w:sig w:usb0="00000001" w:usb1="080E0000" w:usb2="00000000" w:usb3="00000000" w:csb0="00040000" w:csb1="00000000"/>
    <w:embedRegular r:id="rId3" w:fontKey="{5191A5B8-FD7B-4EF5-99D9-B0C7B9AC0E3F}"/>
  </w:font>
  <w:font w:name="仿宋">
    <w:panose1 w:val="02010609060101010101"/>
    <w:charset w:val="86"/>
    <w:family w:val="modern"/>
    <w:pitch w:val="default"/>
    <w:sig w:usb0="800002BF" w:usb1="38CF7CFA" w:usb2="00000016" w:usb3="00000000" w:csb0="00040001" w:csb1="00000000"/>
    <w:embedRegular r:id="rId4" w:fontKey="{B30FC701-87AB-452C-8DAE-9AF84AB8BF0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jNjYzZTc3ZGFmMzI4ZmVkYWI5NjM4NzE5MDVhOWEifQ=="/>
  </w:docVars>
  <w:rsids>
    <w:rsidRoot w:val="14E36DBB"/>
    <w:rsid w:val="14E36DBB"/>
    <w:rsid w:val="385E34C6"/>
    <w:rsid w:val="53C115E2"/>
    <w:rsid w:val="5D7C055F"/>
    <w:rsid w:val="74A64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autoRedefine/>
    <w:qFormat/>
    <w:uiPriority w:val="1"/>
    <w:pPr>
      <w:ind w:left="842"/>
      <w:outlineLvl w:val="1"/>
    </w:pPr>
    <w:rPr>
      <w:rFonts w:ascii="Microsoft JhengHei" w:hAnsi="Microsoft JhengHei" w:eastAsia="Microsoft JhengHei" w:cs="Microsoft JhengHei"/>
      <w:b/>
      <w:bCs/>
      <w:sz w:val="30"/>
      <w:szCs w:val="30"/>
      <w:lang w:val="zh-CN" w:eastAsia="zh-CN" w:bidi="zh-CN"/>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2024-02-28T08:26:00Z</dcterms:created>
  <dc:creator>小黄羊IX</dc:creator>
  <cp:lastModifiedBy>Administrator</cp:lastModifiedBy>
  <dcterms:modified xsi:type="dcterms:W3CDTF">2024-02-29T08:39:21Z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3B9B2B25C7E948E693DA1FD6642DFE39_11</vt:lpwstr>
  </property>
</Properties>
</file>