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227" w:beforeLines="50" w:after="227" w:afterLines="50" w:line="900" w:lineRule="exact"/>
        <w:jc w:val="center"/>
        <w:textAlignment w:val="auto"/>
        <w:rPr>
          <w:rFonts w:hint="eastAsia" w:ascii="方正小标宋简体" w:eastAsia="方正小标宋简体"/>
          <w:color w:val="FF0000"/>
          <w:spacing w:val="40"/>
          <w:sz w:val="92"/>
          <w:szCs w:val="92"/>
          <w:lang w:val="en-US" w:eastAsia="zh-CN"/>
        </w:rPr>
      </w:pPr>
      <w:r>
        <w:rPr>
          <w:rFonts w:hint="eastAsia" w:ascii="方正小标宋简体" w:eastAsia="方正小标宋简体"/>
          <w:color w:val="FF0000"/>
          <w:spacing w:val="142"/>
          <w:w w:val="90"/>
          <w:sz w:val="78"/>
          <w:szCs w:val="78"/>
        </w:rPr>
        <w:t>河南开放大学</w:t>
      </w:r>
      <w:r>
        <w:rPr>
          <w:rFonts w:hint="eastAsia" w:ascii="方正小标宋简体" w:eastAsia="方正小标宋简体"/>
          <w:color w:val="FF0000"/>
          <w:spacing w:val="142"/>
          <w:w w:val="90"/>
          <w:sz w:val="78"/>
          <w:szCs w:val="78"/>
          <w:lang w:val="en-US" w:eastAsia="zh-CN"/>
        </w:rPr>
        <w:t>文件</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eastAsia="方正小标宋简体"/>
          <w:color w:val="FFFFFF" w:themeColor="background1"/>
          <w:spacing w:val="142"/>
          <w:w w:val="90"/>
          <w:sz w:val="78"/>
          <w:szCs w:val="78"/>
          <w14:textFill>
            <w14:solidFill>
              <w14:schemeClr w14:val="bg1"/>
            </w14:solidFill>
          </w14:textFill>
        </w:rPr>
        <w:t>开</w:t>
      </w:r>
      <w:r>
        <w:rPr>
          <w:rFonts w:hint="eastAsia" w:ascii="方正小标宋简体" w:eastAsia="方正小标宋简体"/>
          <w:color w:val="FF0000"/>
          <w:sz w:val="66"/>
          <w:szCs w:val="66"/>
          <w:lang w:bidi="mn-Mong-CN"/>
        </w:rPr>
        <mc:AlternateContent>
          <mc:Choice Requires="wps">
            <w:drawing>
              <wp:anchor distT="0" distB="0" distL="114300" distR="114300" simplePos="0" relativeHeight="251670528" behindDoc="0" locked="0" layoutInCell="1" allowOverlap="1">
                <wp:simplePos x="0" y="0"/>
                <wp:positionH relativeFrom="column">
                  <wp:posOffset>-252095</wp:posOffset>
                </wp:positionH>
                <wp:positionV relativeFrom="paragraph">
                  <wp:posOffset>165735</wp:posOffset>
                </wp:positionV>
                <wp:extent cx="6168390" cy="0"/>
                <wp:effectExtent l="0" t="25400" r="3810" b="31750"/>
                <wp:wrapNone/>
                <wp:docPr id="16" name="直接连接符 16"/>
                <wp:cNvGraphicFramePr/>
                <a:graphic xmlns:a="http://schemas.openxmlformats.org/drawingml/2006/main">
                  <a:graphicData uri="http://schemas.microsoft.com/office/word/2010/wordprocessingShape">
                    <wps:wsp>
                      <wps:cNvCnPr/>
                      <wps:spPr>
                        <a:xfrm>
                          <a:off x="0" y="0"/>
                          <a:ext cx="6168390" cy="0"/>
                        </a:xfrm>
                        <a:prstGeom prst="line">
                          <a:avLst/>
                        </a:prstGeom>
                        <a:ln w="50800" cmpd="thickThi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9.85pt;margin-top:13.05pt;height:0pt;width:485.7pt;z-index:251670528;mso-width-relative:page;mso-height-relative:page;" filled="f" stroked="t" coordsize="21600,21600" o:gfxdata="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xeNH&#10;9dUAAAAJAQAADwAAAAAAAAABACAAAAAiAAAAZHJzL2Rvd25yZXYueG1sUEsBAhQAFAAAAAgAh07i&#10;QHHBPX7sAQAAugMAAA4AAAAAAAAAAQAgAAAAJAEAAGRycy9lMm9Eb2MueG1sUEsFBgAAAAAGAAYA&#10;WQEAAIIFAAAAAA==&#10;">
                <v:fill on="f" focussize="0,0"/>
                <v:stroke weight="4pt" color="#FF0000 [3204]" linestyle="thickThin" miterlimit="8" joinstyle="miter"/>
                <v:imagedata o:title=""/>
                <o:lock v:ext="edit" aspectratio="f"/>
              </v:line>
            </w:pict>
          </mc:Fallback>
        </mc:AlternateContent>
      </w:r>
      <w:r>
        <w:rPr>
          <w:rFonts w:hint="eastAsia" w:ascii="方正小标宋简体" w:eastAsia="方正小标宋简体"/>
          <w:color w:val="FFFFFF" w:themeColor="background1"/>
          <w:spacing w:val="142"/>
          <w:w w:val="90"/>
          <w:sz w:val="78"/>
          <w:szCs w:val="78"/>
          <w14:textFill>
            <w14:solidFill>
              <w14:schemeClr w14:val="bg1"/>
            </w14:solidFill>
          </w14:textFill>
        </w:rPr>
        <w:t>放</w:t>
      </w:r>
      <w:r>
        <w:rPr>
          <w:rFonts w:hint="eastAsia" w:ascii="方正小标宋简体" w:eastAsia="方正小标宋简体"/>
          <w:color w:val="FF0000"/>
          <w:sz w:val="66"/>
          <w:szCs w:val="66"/>
          <w:lang w:bidi="mn-Mong-CN"/>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ge">
                  <wp:posOffset>2052955</wp:posOffset>
                </wp:positionV>
                <wp:extent cx="5592445" cy="5715"/>
                <wp:effectExtent l="0" t="0" r="0" b="0"/>
                <wp:wrapNone/>
                <wp:docPr id="1" name="直接连接符 1"/>
                <wp:cNvGraphicFramePr/>
                <a:graphic xmlns:a="http://schemas.openxmlformats.org/drawingml/2006/main">
                  <a:graphicData uri="http://schemas.microsoft.com/office/word/2010/wordprocessingShape">
                    <wps:wsp>
                      <wps:cNvCnPr/>
                      <wps:spPr>
                        <a:xfrm flipV="1">
                          <a:off x="0" y="0"/>
                          <a:ext cx="5592445" cy="5715"/>
                        </a:xfrm>
                        <a:prstGeom prst="line">
                          <a:avLst/>
                        </a:prstGeom>
                        <a:ln w="50800" cmpd="thickThin">
                          <a:no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pt;margin-top:161.65pt;height:0.45pt;width:440.35pt;mso-position-vertical-relative:page;z-index:251661312;mso-width-relative:page;mso-height-relative:page;" filled="f" stroked="f" coordsize="21600,21600" o:gfxdata="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EROO7HZAAAA&#10;CAEAAA8AAAAAAAAAAQAgAAAAIgAAAGRycy9kb3ducmV2LnhtbFBLAQIUABQAAAAIAIdO4kCUAdLZ&#10;4wEAAJwDAAAOAAAAAAAAAAEAIAAAACgBAABkcnMvZTJvRG9jLnhtbFBLBQYAAAAABgAGAFkBAAB9&#10;BQAAAAA=&#10;">
                <v:fill on="f" focussize="0,0"/>
                <v:stroke on="f" weight="4pt" linestyle="thickThin" miterlimit="8" joinstyle="miter"/>
                <v:imagedata o:title=""/>
                <o:lock v:ext="edit" aspectratio="f"/>
              </v:line>
            </w:pict>
          </mc:Fallback>
        </mc:AlternateContent>
      </w:r>
    </w:p>
    <w:p>
      <w:pPr>
        <w:keepNext w:val="0"/>
        <w:keepLines w:val="0"/>
        <w:pageBreakBefore w:val="0"/>
        <w:widowControl w:val="0"/>
        <w:kinsoku/>
        <w:wordWrap w:val="0"/>
        <w:overflowPunct/>
        <w:topLinePunct w:val="0"/>
        <w:autoSpaceDE/>
        <w:autoSpaceDN/>
        <w:bidi w:val="0"/>
        <w:adjustRightInd/>
        <w:snapToGrid/>
        <w:spacing w:line="579" w:lineRule="exact"/>
        <w:ind w:left="0" w:leftChars="0" w:right="420" w:rightChars="200"/>
        <w:jc w:val="righ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校办〔2024〕15号</w:t>
      </w:r>
    </w:p>
    <w:p>
      <w:pPr>
        <w:keepNext w:val="0"/>
        <w:keepLines w:val="0"/>
        <w:pageBreakBefore w:val="0"/>
        <w:widowControl w:val="0"/>
        <w:kinsoku/>
        <w:wordWrap/>
        <w:overflowPunct/>
        <w:topLinePunct w:val="0"/>
        <w:autoSpaceDE/>
        <w:autoSpaceDN/>
        <w:bidi w:val="0"/>
        <w:adjustRightInd/>
        <w:snapToGrid/>
        <w:spacing w:line="180" w:lineRule="exact"/>
        <w:ind w:left="0" w:leftChars="0" w:right="420" w:rightChars="200"/>
        <w:jc w:val="right"/>
        <w:textAlignment w:val="auto"/>
        <w:rPr>
          <w:rFonts w:hint="default" w:ascii="仿宋_GB2312" w:hAnsi="仿宋_GB2312" w:eastAsia="仿宋_GB2312" w:cs="仿宋_GB2312"/>
          <w:color w:val="auto"/>
          <w:sz w:val="40"/>
          <w:szCs w:val="4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right"/>
        <w:textAlignment w:val="auto"/>
        <w:rPr>
          <w:rFonts w:hint="default" w:ascii="仿宋_GB2312" w:hAnsi="仿宋_GB2312" w:eastAsia="仿宋_GB2312" w:cs="仿宋_GB2312"/>
          <w:color w:val="auto"/>
          <w:sz w:val="40"/>
          <w:szCs w:val="40"/>
          <w:lang w:val="en-US" w:eastAsia="zh-CN"/>
        </w:rPr>
      </w:pP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color w:val="auto"/>
          <w:spacing w:val="0"/>
          <w:w w:val="100"/>
          <w:sz w:val="44"/>
          <w:szCs w:val="44"/>
          <w:lang w:val="en-US" w:eastAsia="zh-CN"/>
        </w:rPr>
      </w:pPr>
      <w:r>
        <w:rPr>
          <w:rFonts w:hint="eastAsia" w:ascii="方正小标宋简体" w:hAnsi="方正小标宋简体" w:eastAsia="方正小标宋简体" w:cs="方正小标宋简体"/>
          <w:color w:val="auto"/>
          <w:spacing w:val="0"/>
          <w:w w:val="100"/>
          <w:sz w:val="44"/>
          <w:szCs w:val="44"/>
          <w:lang w:val="en-US" w:eastAsia="zh-CN"/>
        </w:rPr>
        <w:t>关于做好2024年春季学期高等学历继续教育</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方正小标宋简体" w:hAnsi="方正小标宋简体" w:eastAsia="方正小标宋简体" w:cs="方正小标宋简体"/>
          <w:color w:val="auto"/>
          <w:spacing w:val="0"/>
          <w:w w:val="100"/>
          <w:sz w:val="44"/>
          <w:szCs w:val="44"/>
          <w:lang w:val="en-US" w:eastAsia="zh-CN"/>
        </w:rPr>
      </w:pPr>
      <w:r>
        <w:rPr>
          <w:rFonts w:hint="eastAsia" w:ascii="方正小标宋简体" w:hAnsi="方正小标宋简体" w:eastAsia="方正小标宋简体" w:cs="方正小标宋简体"/>
          <w:color w:val="auto"/>
          <w:spacing w:val="0"/>
          <w:w w:val="100"/>
          <w:sz w:val="44"/>
          <w:szCs w:val="44"/>
          <w:lang w:val="en-US" w:eastAsia="zh-CN"/>
        </w:rPr>
        <w:t>学分转换工作的通知</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color w:val="auto"/>
          <w:spacing w:val="0"/>
          <w:w w:val="100"/>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color w:val="auto"/>
          <w:spacing w:val="0"/>
          <w:w w:val="100"/>
          <w:sz w:val="32"/>
          <w:szCs w:val="32"/>
          <w:lang w:val="en-US" w:eastAsia="zh-CN"/>
        </w:rPr>
      </w:pPr>
      <w:r>
        <w:rPr>
          <w:rFonts w:hint="eastAsia" w:ascii="仿宋_GB2312" w:hAnsi="仿宋_GB2312" w:eastAsia="仿宋_GB2312" w:cs="仿宋_GB2312"/>
          <w:color w:val="auto"/>
          <w:spacing w:val="0"/>
          <w:w w:val="100"/>
          <w:sz w:val="32"/>
          <w:szCs w:val="32"/>
          <w:lang w:val="en-US" w:eastAsia="zh-CN"/>
        </w:rPr>
        <w:t>各学院、高等学历继续教育各校区：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val="en-US" w:eastAsia="zh-CN"/>
        </w:rPr>
        <w:t>河南开放大学高等学历继续教育2024年春季学期教学组织与实施安排</w:t>
      </w:r>
      <w:r>
        <w:rPr>
          <w:rFonts w:hint="eastAsia" w:ascii="仿宋_GB2312" w:hAnsi="仿宋_GB2312" w:eastAsia="仿宋_GB2312" w:cs="仿宋_GB2312"/>
          <w:sz w:val="32"/>
          <w:szCs w:val="32"/>
        </w:rPr>
        <w:t>，按照《</w:t>
      </w:r>
      <w:r>
        <w:rPr>
          <w:rFonts w:hint="eastAsia" w:ascii="仿宋_GB2312" w:hAnsi="仿宋_GB2312" w:eastAsia="仿宋_GB2312" w:cs="仿宋_GB2312"/>
          <w:sz w:val="32"/>
          <w:szCs w:val="32"/>
          <w:lang w:val="en-US" w:eastAsia="zh-CN"/>
        </w:rPr>
        <w:t>河南终身教育学分银行关于开放大学高等学历继续教育</w:t>
      </w:r>
      <w:r>
        <w:rPr>
          <w:rFonts w:hint="eastAsia" w:ascii="仿宋_GB2312" w:hAnsi="仿宋_GB2312" w:eastAsia="仿宋_GB2312" w:cs="仿宋_GB2312"/>
          <w:sz w:val="32"/>
          <w:szCs w:val="32"/>
        </w:rPr>
        <w:t>学分认定和转换实施方案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》（豫</w:t>
      </w:r>
      <w:r>
        <w:rPr>
          <w:rFonts w:hint="eastAsia" w:ascii="仿宋_GB2312" w:hAnsi="仿宋_GB2312" w:eastAsia="仿宋_GB2312" w:cs="仿宋_GB2312"/>
          <w:sz w:val="32"/>
          <w:szCs w:val="32"/>
          <w:lang w:val="en-US" w:eastAsia="zh-CN"/>
        </w:rPr>
        <w:t>学银</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号）文件要求，现将202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春</w:t>
      </w:r>
      <w:r>
        <w:rPr>
          <w:rFonts w:hint="eastAsia" w:ascii="仿宋_GB2312" w:hAnsi="仿宋_GB2312" w:eastAsia="仿宋_GB2312" w:cs="仿宋_GB2312"/>
          <w:sz w:val="32"/>
          <w:szCs w:val="32"/>
        </w:rPr>
        <w:t>季学期</w:t>
      </w:r>
      <w:r>
        <w:rPr>
          <w:rFonts w:hint="eastAsia" w:ascii="仿宋_GB2312" w:hAnsi="仿宋_GB2312" w:eastAsia="仿宋_GB2312" w:cs="仿宋_GB2312"/>
          <w:sz w:val="32"/>
          <w:szCs w:val="32"/>
          <w:lang w:val="en-US" w:eastAsia="zh-CN"/>
        </w:rPr>
        <w:t>高等学历继续教育</w:t>
      </w:r>
      <w:r>
        <w:rPr>
          <w:rFonts w:hint="eastAsia" w:ascii="仿宋_GB2312" w:hAnsi="仿宋_GB2312" w:eastAsia="仿宋_GB2312" w:cs="仿宋_GB2312"/>
          <w:sz w:val="32"/>
          <w:szCs w:val="32"/>
        </w:rPr>
        <w:t>学分转换</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rPr>
        <w:t>通知如下，请遵照执行。</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、工作要求</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（一）各校区负责审核学生身份证件、学习成果原件，确保证件、成果真实有效，并保存学生身份证件、学习成果复印件备查。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（二）各校区</w:t>
      </w:r>
      <w:r>
        <w:rPr>
          <w:rFonts w:hint="eastAsia" w:ascii="仿宋_GB2312" w:hAnsi="仿宋_GB2312" w:eastAsia="仿宋_GB2312" w:cs="仿宋_GB2312"/>
          <w:sz w:val="32"/>
          <w:szCs w:val="32"/>
          <w:lang w:val="en-US" w:eastAsia="zh-CN"/>
        </w:rPr>
        <w:t>须</w:t>
      </w:r>
      <w:r>
        <w:rPr>
          <w:rFonts w:hint="eastAsia" w:ascii="仿宋_GB2312" w:hAnsi="仿宋_GB2312" w:eastAsia="仿宋_GB2312" w:cs="仿宋_GB2312"/>
          <w:sz w:val="32"/>
          <w:szCs w:val="32"/>
        </w:rPr>
        <w:t>在</w:t>
      </w:r>
      <w:r>
        <w:rPr>
          <w:rFonts w:hint="eastAsia" w:ascii="仿宋_GB2312" w:hAnsi="Times New Roman" w:eastAsia="仿宋_GB2312" w:cs="Times New Roman"/>
          <w:color w:val="000000"/>
          <w:sz w:val="32"/>
          <w:szCs w:val="24"/>
          <w:lang w:eastAsia="zh-CN"/>
        </w:rPr>
        <w:t>“</w:t>
      </w:r>
      <w:r>
        <w:rPr>
          <w:rFonts w:hint="eastAsia" w:ascii="仿宋_GB2312" w:hAnsi="Times New Roman" w:eastAsia="仿宋_GB2312" w:cs="Times New Roman"/>
          <w:color w:val="000000"/>
          <w:sz w:val="32"/>
          <w:szCs w:val="24"/>
          <w:lang w:val="en-US" w:eastAsia="zh-CN"/>
        </w:rPr>
        <w:t>云上河开</w:t>
      </w:r>
      <w:r>
        <w:rPr>
          <w:rFonts w:hint="eastAsia" w:ascii="仿宋_GB2312" w:hAnsi="Times New Roman" w:eastAsia="仿宋_GB2312" w:cs="Times New Roman"/>
          <w:color w:val="000000"/>
          <w:sz w:val="32"/>
          <w:szCs w:val="24"/>
          <w:lang w:eastAsia="zh-CN"/>
        </w:rPr>
        <w:t>”</w:t>
      </w:r>
      <w:r>
        <w:rPr>
          <w:rFonts w:hint="eastAsia" w:ascii="仿宋_GB2312" w:hAnsi="Times New Roman" w:eastAsia="仿宋_GB2312" w:cs="Times New Roman"/>
          <w:color w:val="000000"/>
          <w:sz w:val="32"/>
          <w:szCs w:val="24"/>
          <w:lang w:val="en-US" w:eastAsia="zh-CN"/>
        </w:rPr>
        <w:t>学历教育平台（同</w:t>
      </w:r>
      <w:r>
        <w:rPr>
          <w:rFonts w:hint="eastAsia" w:ascii="仿宋_GB2312" w:hAnsi="仿宋_GB2312" w:eastAsia="仿宋_GB2312" w:cs="仿宋_GB2312"/>
          <w:sz w:val="32"/>
          <w:szCs w:val="32"/>
        </w:rPr>
        <w:t>高职扩招平台</w:t>
      </w:r>
      <w:r>
        <w:rPr>
          <w:rFonts w:hint="eastAsia" w:ascii="仿宋_GB2312" w:hAnsi="Times New Roman" w:eastAsia="仿宋_GB2312" w:cs="Times New Roman"/>
          <w:color w:val="000000"/>
          <w:sz w:val="32"/>
          <w:szCs w:val="24"/>
          <w:lang w:val="en-US" w:eastAsia="zh-CN"/>
        </w:rPr>
        <w:t>）</w:t>
      </w:r>
      <w:r>
        <w:rPr>
          <w:rFonts w:hint="eastAsia" w:ascii="仿宋_GB2312" w:hAnsi="仿宋_GB2312" w:eastAsia="仿宋_GB2312" w:cs="仿宋_GB2312"/>
          <w:sz w:val="32"/>
          <w:szCs w:val="32"/>
        </w:rPr>
        <w:t>上传</w:t>
      </w:r>
      <w:r>
        <w:rPr>
          <w:rFonts w:hint="eastAsia" w:ascii="仿宋_GB2312" w:hAnsi="仿宋_GB2312" w:eastAsia="仿宋_GB2312" w:cs="仿宋_GB2312"/>
          <w:sz w:val="32"/>
          <w:szCs w:val="32"/>
          <w:lang w:val="en-US" w:eastAsia="zh-CN"/>
        </w:rPr>
        <w:t>身份证件及学习成果扫描件，并</w:t>
      </w:r>
      <w:r>
        <w:rPr>
          <w:rFonts w:hint="eastAsia" w:ascii="仿宋_GB2312" w:hAnsi="仿宋_GB2312" w:eastAsia="仿宋_GB2312" w:cs="仿宋_GB2312"/>
          <w:sz w:val="32"/>
          <w:szCs w:val="32"/>
        </w:rPr>
        <w:t>提交学分转换申请。具体操作方法与注意事项详见《高</w:t>
      </w:r>
      <w:r>
        <w:rPr>
          <w:rFonts w:hint="eastAsia" w:ascii="仿宋_GB2312" w:hAnsi="仿宋_GB2312" w:eastAsia="仿宋_GB2312" w:cs="仿宋_GB2312"/>
          <w:sz w:val="32"/>
          <w:szCs w:val="32"/>
          <w:lang w:val="en-US" w:eastAsia="zh-CN"/>
        </w:rPr>
        <w:t>等学历继续教育</w:t>
      </w:r>
      <w:r>
        <w:rPr>
          <w:rFonts w:hint="eastAsia" w:ascii="仿宋_GB2312" w:hAnsi="仿宋_GB2312" w:eastAsia="仿宋_GB2312" w:cs="仿宋_GB2312"/>
          <w:sz w:val="32"/>
          <w:szCs w:val="32"/>
        </w:rPr>
        <w:t>学分转换相关操作方法与注意事项》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同高职扩招平台操作指南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（附件1）。 </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（三）各校区</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rPr>
        <w:t>严格依据《</w:t>
      </w:r>
      <w:r>
        <w:rPr>
          <w:rFonts w:hint="eastAsia" w:ascii="仿宋_GB2312" w:hAnsi="仿宋_GB2312" w:eastAsia="仿宋_GB2312" w:cs="仿宋_GB2312"/>
          <w:sz w:val="32"/>
          <w:szCs w:val="32"/>
          <w:lang w:val="en-US" w:eastAsia="zh-CN"/>
        </w:rPr>
        <w:t>河南终身教育学分银行关于开放大学高等学历继续教育学分认定和转换总则（试行）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豫学银〔2024〕4号</w:t>
      </w:r>
      <w:r>
        <w:rPr>
          <w:rFonts w:hint="eastAsia" w:ascii="仿宋_GB2312" w:hAnsi="仿宋_GB2312" w:eastAsia="仿宋_GB2312" w:cs="仿宋_GB2312"/>
          <w:sz w:val="32"/>
          <w:szCs w:val="32"/>
        </w:rPr>
        <w:t>）（附件2）各项要求进行学分转换申请的初审工作。其中对学生实习环节中以工作代实习学分转换申请及岗位工作经历证明材料的提交要求，请参见《</w:t>
      </w:r>
      <w:r>
        <w:rPr>
          <w:rFonts w:hint="eastAsia" w:ascii="仿宋_GB2312" w:hAnsi="仿宋_GB2312" w:eastAsia="仿宋_GB2312" w:cs="仿宋_GB2312"/>
          <w:sz w:val="32"/>
          <w:szCs w:val="32"/>
          <w:lang w:val="en-US" w:eastAsia="zh-CN"/>
        </w:rPr>
        <w:t>河南开放大学</w:t>
      </w:r>
      <w:r>
        <w:rPr>
          <w:rFonts w:hint="eastAsia" w:ascii="仿宋_GB2312" w:hAnsi="仿宋_GB2312" w:eastAsia="仿宋_GB2312" w:cs="仿宋_GB2312"/>
          <w:sz w:val="32"/>
          <w:szCs w:val="32"/>
        </w:rPr>
        <w:t>高</w:t>
      </w:r>
      <w:r>
        <w:rPr>
          <w:rFonts w:hint="eastAsia" w:ascii="仿宋_GB2312" w:hAnsi="仿宋_GB2312" w:eastAsia="仿宋_GB2312" w:cs="仿宋_GB2312"/>
          <w:sz w:val="32"/>
          <w:szCs w:val="32"/>
          <w:lang w:val="en-US" w:eastAsia="zh-CN"/>
        </w:rPr>
        <w:t>等学历继续教育学生</w:t>
      </w:r>
      <w:r>
        <w:rPr>
          <w:rFonts w:hint="eastAsia" w:ascii="仿宋_GB2312" w:hAnsi="仿宋_GB2312" w:eastAsia="仿宋_GB2312" w:cs="仿宋_GB2312"/>
          <w:sz w:val="32"/>
          <w:szCs w:val="32"/>
        </w:rPr>
        <w:t>以工作代实习学分转换申请表》（附件3，以下简称《申请表》）。各学院在各校区初审的基础上，需在学生提交的《申请表》中对学生工作经历是否符合以工作代实习学分转换要求给出审核意见。</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（四）各校区依据初审情况，将初审通过的学分转换申请汇总制作成《</w:t>
      </w:r>
      <w:r>
        <w:rPr>
          <w:rFonts w:hint="eastAsia" w:ascii="仿宋_GB2312" w:hAnsi="仿宋_GB2312" w:eastAsia="仿宋_GB2312" w:cs="仿宋_GB2312"/>
          <w:sz w:val="32"/>
          <w:szCs w:val="32"/>
          <w:lang w:val="en-US" w:eastAsia="zh-CN"/>
        </w:rPr>
        <w:t>高等学历继续教育</w:t>
      </w:r>
      <w:r>
        <w:rPr>
          <w:rFonts w:hint="eastAsia" w:ascii="仿宋_GB2312" w:hAnsi="仿宋_GB2312" w:eastAsia="仿宋_GB2312" w:cs="仿宋_GB2312"/>
          <w:sz w:val="32"/>
          <w:szCs w:val="32"/>
        </w:rPr>
        <w:t>学生学分转换申请花名册》（附件4，以下简称《花名册》）并签字盖章，会同以工作代实习学分转换学生的《申请表》及相关证明材料，于202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日前寄送至学分银行管理中心（以邮件寄送日期为据）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并同步将《花名册》电子版发送至学分银行管理中心邮箱</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、时间安排</w:t>
      </w:r>
    </w:p>
    <w:p>
      <w:pPr>
        <w:keepNext w:val="0"/>
        <w:keepLines w:val="0"/>
        <w:pageBreakBefore w:val="0"/>
        <w:widowControl w:val="0"/>
        <w:kinsoku/>
        <w:wordWrap/>
        <w:overflowPunct/>
        <w:topLinePunct w:val="0"/>
        <w:autoSpaceDE/>
        <w:autoSpaceDN/>
        <w:bidi w:val="0"/>
        <w:adjustRightInd/>
        <w:snapToGrid/>
        <w:spacing w:line="519"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2024年4月15日—</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各校区</w:t>
      </w:r>
      <w:r>
        <w:rPr>
          <w:rFonts w:hint="eastAsia" w:ascii="仿宋_GB2312" w:hAnsi="仿宋_GB2312" w:eastAsia="仿宋_GB2312" w:cs="仿宋_GB2312"/>
          <w:sz w:val="32"/>
          <w:szCs w:val="32"/>
        </w:rPr>
        <w:t>完成高</w:t>
      </w:r>
      <w:r>
        <w:rPr>
          <w:rFonts w:hint="eastAsia" w:ascii="仿宋_GB2312" w:hAnsi="仿宋_GB2312" w:eastAsia="仿宋_GB2312" w:cs="仿宋_GB2312"/>
          <w:sz w:val="32"/>
          <w:szCs w:val="32"/>
          <w:lang w:val="en-US" w:eastAsia="zh-CN"/>
        </w:rPr>
        <w:t>等学历继续教育</w:t>
      </w:r>
      <w:r>
        <w:rPr>
          <w:rFonts w:hint="eastAsia" w:ascii="仿宋_GB2312" w:hAnsi="仿宋_GB2312" w:eastAsia="仿宋_GB2312" w:cs="仿宋_GB2312"/>
          <w:sz w:val="32"/>
          <w:szCs w:val="32"/>
        </w:rPr>
        <w:t>学分转换“申请阶段”的申请和初审工作。</w:t>
      </w:r>
    </w:p>
    <w:p>
      <w:pPr>
        <w:keepNext w:val="0"/>
        <w:keepLines w:val="0"/>
        <w:pageBreakBefore w:val="0"/>
        <w:widowControl w:val="0"/>
        <w:kinsoku/>
        <w:wordWrap/>
        <w:overflowPunct/>
        <w:topLinePunct w:val="0"/>
        <w:autoSpaceDE/>
        <w:autoSpaceDN/>
        <w:bidi w:val="0"/>
        <w:adjustRightInd/>
        <w:snapToGrid/>
        <w:spacing w:line="51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（二）2024年5月6日—2024年5月10日，各学院完成</w:t>
      </w:r>
      <w:r>
        <w:rPr>
          <w:rFonts w:hint="eastAsia" w:ascii="仿宋_GB2312" w:hAnsi="仿宋_GB2312" w:eastAsia="仿宋_GB2312" w:cs="仿宋_GB2312"/>
          <w:sz w:val="32"/>
          <w:szCs w:val="32"/>
        </w:rPr>
        <w:t>以工作代实习学分转换学生的《申请表》及相关证明材料</w:t>
      </w:r>
      <w:r>
        <w:rPr>
          <w:rFonts w:hint="eastAsia" w:ascii="仿宋_GB2312" w:hAnsi="仿宋_GB2312" w:eastAsia="仿宋_GB2312" w:cs="仿宋_GB2312"/>
          <w:sz w:val="32"/>
          <w:szCs w:val="32"/>
          <w:lang w:val="en-US" w:eastAsia="zh-CN"/>
        </w:rPr>
        <w:t>的审核工作。</w:t>
      </w:r>
    </w:p>
    <w:p>
      <w:pPr>
        <w:keepNext w:val="0"/>
        <w:keepLines w:val="0"/>
        <w:pageBreakBefore w:val="0"/>
        <w:widowControl w:val="0"/>
        <w:kinsoku/>
        <w:wordWrap/>
        <w:overflowPunct/>
        <w:topLinePunct w:val="0"/>
        <w:autoSpaceDE/>
        <w:autoSpaceDN/>
        <w:bidi w:val="0"/>
        <w:adjustRightInd/>
        <w:snapToGrid/>
        <w:spacing w:line="51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（三）2024年5月13日—2024年5月15日，学分银行管理中心完成复审工作。</w:t>
      </w:r>
    </w:p>
    <w:p>
      <w:pPr>
        <w:keepNext w:val="0"/>
        <w:keepLines w:val="0"/>
        <w:pageBreakBefore w:val="0"/>
        <w:widowControl w:val="0"/>
        <w:kinsoku/>
        <w:wordWrap/>
        <w:overflowPunct/>
        <w:topLinePunct w:val="0"/>
        <w:autoSpaceDE/>
        <w:autoSpaceDN/>
        <w:bidi w:val="0"/>
        <w:adjustRightInd/>
        <w:snapToGrid/>
        <w:spacing w:line="51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（四）2024年5月16日—2024年5月19日，教务处完成终审工作。</w:t>
      </w:r>
    </w:p>
    <w:p>
      <w:pPr>
        <w:keepNext w:val="0"/>
        <w:keepLines w:val="0"/>
        <w:pageBreakBefore w:val="0"/>
        <w:widowControl w:val="0"/>
        <w:kinsoku/>
        <w:wordWrap/>
        <w:overflowPunct/>
        <w:topLinePunct w:val="0"/>
        <w:autoSpaceDE/>
        <w:autoSpaceDN/>
        <w:bidi w:val="0"/>
        <w:adjustRightInd/>
        <w:snapToGrid/>
        <w:spacing w:line="519"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（五）2024年5月20日—2024年5月24日，学分银行管理中心集中受理此次学分转换结果申诉。</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三、</w:t>
      </w:r>
      <w:r>
        <w:rPr>
          <w:rFonts w:hint="eastAsia" w:ascii="黑体" w:hAnsi="黑体" w:eastAsia="黑体" w:cs="黑体"/>
          <w:sz w:val="32"/>
          <w:szCs w:val="32"/>
          <w:lang w:val="en-US" w:eastAsia="zh-CN"/>
        </w:rPr>
        <w:t>注意事项</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（一）各校区在“申请阶段”审核过程中应仔细比对学生证件和学习成果原件信息，确保初审通过</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学生证件与学习成果原件信息一致并符合学分转换要求</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）学分银行管理中心会将收到的《申请表》及相关证明材料转交各学院，并依据《花名册》和各学院审核过的《申请表》及相关证明材料进行复审。</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各校区在本学期学分转换终审工作完成后通知学生自行登录高等学历继续教育学习平台查询学分转换结果，若有疑义，请在此次学分转换结果申诉期内，由校区统一向学分银行管理中心提出申诉。</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（四）因学生个人原因出现学习成果证明材料提交不完整、提交错误等导致学分转换不通过的，本期校区、学院、学分银行管理中心和教务处均不对后续的补充材料进行审核。</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未尽事宜请与以下人员联系：</w:t>
      </w:r>
    </w:p>
    <w:p>
      <w:pPr>
        <w:keepNext w:val="0"/>
        <w:keepLines w:val="0"/>
        <w:pageBreakBefore w:val="0"/>
        <w:widowControl w:val="0"/>
        <w:kinsoku/>
        <w:wordWrap/>
        <w:overflowPunct/>
        <w:topLinePunct w:val="0"/>
        <w:autoSpaceDE/>
        <w:autoSpaceDN/>
        <w:bidi w:val="0"/>
        <w:adjustRightInd/>
        <w:snapToGrid/>
        <w:spacing w:line="540" w:lineRule="exact"/>
        <w:ind w:firstLine="600"/>
        <w:textAlignment w:val="auto"/>
        <w:rPr>
          <w:rFonts w:hint="eastAsia" w:ascii="仿宋_GB2312" w:hAnsi="Times New Roman" w:eastAsia="仿宋_GB2312" w:cs="Times New Roman"/>
          <w:sz w:val="32"/>
          <w:szCs w:val="32"/>
        </w:rPr>
      </w:pPr>
      <w:r>
        <w:rPr>
          <w:rFonts w:hint="eastAsia" w:ascii="仿宋_GB2312" w:hAnsi="仿宋_GB2312" w:eastAsia="仿宋_GB2312" w:cs="仿宋_GB2312"/>
          <w:sz w:val="32"/>
          <w:szCs w:val="32"/>
        </w:rPr>
        <w:t>学分银行管理中心联系人：</w:t>
      </w:r>
      <w:r>
        <w:rPr>
          <w:rFonts w:hint="eastAsia" w:ascii="仿宋_GB2312" w:hAnsi="仿宋_GB2312" w:eastAsia="仿宋_GB2312" w:cs="仿宋_GB2312"/>
          <w:sz w:val="32"/>
          <w:szCs w:val="32"/>
          <w:lang w:val="en-US" w:eastAsia="zh-CN"/>
        </w:rPr>
        <w:t>王超超</w:t>
      </w:r>
      <w:r>
        <w:rPr>
          <w:rFonts w:hint="eastAsia" w:ascii="仿宋_GB2312" w:hAnsi="仿宋_GB2312" w:eastAsia="仿宋_GB2312" w:cs="仿宋_GB2312"/>
          <w:sz w:val="32"/>
          <w:szCs w:val="32"/>
        </w:rPr>
        <w:t>，电话：0371-5852</w:t>
      </w:r>
      <w:r>
        <w:rPr>
          <w:rFonts w:hint="eastAsia" w:ascii="仿宋_GB2312" w:hAnsi="仿宋_GB2312" w:eastAsia="仿宋_GB2312" w:cs="仿宋_GB2312"/>
          <w:sz w:val="32"/>
          <w:szCs w:val="32"/>
          <w:lang w:val="en-US" w:eastAsia="zh-CN"/>
        </w:rPr>
        <w:t>5570，地址：郑州市郑东新区龙子湖北路36号河南开放大学行政楼205室，邮箱：</w:t>
      </w:r>
      <w:r>
        <w:rPr>
          <w:rFonts w:hint="eastAsia" w:ascii="仿宋_GB2312" w:hAnsi="仿宋_GB2312" w:eastAsia="仿宋_GB2312" w:cs="仿宋_GB2312"/>
          <w:sz w:val="32"/>
          <w:szCs w:val="32"/>
        </w:rPr>
        <w:t>hncreditbank@126.com。</w:t>
      </w:r>
    </w:p>
    <w:p>
      <w:pPr>
        <w:keepNext w:val="0"/>
        <w:keepLines w:val="0"/>
        <w:pageBreakBefore w:val="0"/>
        <w:widowControl w:val="0"/>
        <w:tabs>
          <w:tab w:val="center" w:pos="4153"/>
          <w:tab w:val="right" w:pos="8306"/>
        </w:tabs>
        <w:kinsoku/>
        <w:wordWrap/>
        <w:overflowPunct/>
        <w:topLinePunct w:val="0"/>
        <w:autoSpaceDE/>
        <w:autoSpaceDN/>
        <w:bidi w:val="0"/>
        <w:adjustRightInd/>
        <w:snapToGrid/>
        <w:spacing w:line="540" w:lineRule="exact"/>
        <w:jc w:val="left"/>
        <w:textAlignment w:val="auto"/>
        <w:rPr>
          <w:rFonts w:ascii="仿宋_GB2312" w:hAnsi="宋体" w:eastAsia="仿宋_GB2312" w:cs="Times New Roman"/>
          <w:color w:val="auto"/>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宋体" w:eastAsia="仿宋_GB2312" w:cs="Times New Roman"/>
          <w:color w:val="auto"/>
          <w:sz w:val="32"/>
          <w:szCs w:val="32"/>
          <w:lang w:val="en-US" w:eastAsia="zh-CN"/>
        </w:rPr>
        <w:t>附件：</w:t>
      </w:r>
      <w:r>
        <w:rPr>
          <w:rFonts w:hint="eastAsia" w:ascii="仿宋_GB2312" w:hAnsi="仿宋_GB2312" w:eastAsia="仿宋_GB2312" w:cs="仿宋_GB2312"/>
          <w:sz w:val="32"/>
          <w:szCs w:val="32"/>
          <w:lang w:val="en-US" w:eastAsia="zh-CN"/>
        </w:rPr>
        <w:t>1.河南开放大学高等学历继续教育学分转换操作指南</w:t>
      </w:r>
    </w:p>
    <w:p>
      <w:pPr>
        <w:keepNext w:val="0"/>
        <w:keepLines w:val="0"/>
        <w:pageBreakBefore w:val="0"/>
        <w:widowControl w:val="0"/>
        <w:kinsoku/>
        <w:wordWrap/>
        <w:overflowPunct/>
        <w:topLinePunct w:val="0"/>
        <w:autoSpaceDE/>
        <w:autoSpaceDN/>
        <w:bidi w:val="0"/>
        <w:adjustRightInd/>
        <w:snapToGrid/>
        <w:spacing w:line="579" w:lineRule="exact"/>
        <w:ind w:left="1916" w:leftChars="760" w:hanging="320" w:hangingChars="1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2.河南终身教育学分银行关于开放大学高等学历继续教育学分认定和转换总则（试行）</w:t>
      </w:r>
    </w:p>
    <w:p>
      <w:pPr>
        <w:keepNext w:val="0"/>
        <w:keepLines w:val="0"/>
        <w:pageBreakBefore w:val="0"/>
        <w:widowControl w:val="0"/>
        <w:kinsoku/>
        <w:wordWrap/>
        <w:overflowPunct/>
        <w:topLinePunct w:val="0"/>
        <w:autoSpaceDE/>
        <w:autoSpaceDN/>
        <w:bidi w:val="0"/>
        <w:adjustRightInd/>
        <w:snapToGrid/>
        <w:spacing w:line="579" w:lineRule="exact"/>
        <w:ind w:left="1916" w:leftChars="760" w:hanging="320" w:hangingChars="1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3.河南开放大学高等学历继续教育学生以工作代实习学分转换申请表</w:t>
      </w:r>
    </w:p>
    <w:p>
      <w:pPr>
        <w:spacing w:line="579" w:lineRule="exact"/>
        <w:ind w:left="1916" w:leftChars="760" w:hanging="320" w:hangingChars="100"/>
        <w:rPr>
          <w:rFonts w:ascii="仿宋_GB2312" w:hAnsi="仿宋_GB2312" w:eastAsia="仿宋_GB2312" w:cs="仿宋_GB2312"/>
          <w:sz w:val="32"/>
          <w:szCs w:val="30"/>
        </w:rPr>
      </w:pPr>
      <w:r>
        <w:rPr>
          <w:rFonts w:hint="eastAsia" w:ascii="仿宋_GB2312" w:hAnsi="仿宋_GB2312" w:eastAsia="仿宋_GB2312" w:cs="仿宋_GB2312"/>
          <w:sz w:val="32"/>
          <w:szCs w:val="32"/>
          <w:lang w:val="en-US" w:eastAsia="zh-CN"/>
        </w:rPr>
        <w:t>4.河南开放大学高等学历继续教育学生学分转换申请花名册</w:t>
      </w:r>
    </w:p>
    <w:p>
      <w:pPr>
        <w:keepNext w:val="0"/>
        <w:keepLines w:val="0"/>
        <w:pageBreakBefore w:val="0"/>
        <w:widowControl w:val="0"/>
        <w:kinsoku/>
        <w:wordWrap w:val="0"/>
        <w:overflowPunct/>
        <w:topLinePunct w:val="0"/>
        <w:autoSpaceDE/>
        <w:autoSpaceDN/>
        <w:bidi w:val="0"/>
        <w:adjustRightInd/>
        <w:snapToGrid/>
        <w:spacing w:line="579" w:lineRule="exact"/>
        <w:jc w:val="both"/>
        <w:textAlignment w:val="auto"/>
        <w:rPr>
          <w:rFonts w:hint="default" w:ascii="仿宋_GB2312" w:hAnsi="仿宋_GB2312" w:eastAsia="仿宋_GB2312" w:cs="仿宋_GB2312"/>
          <w:color w:val="auto"/>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79" w:lineRule="exact"/>
        <w:jc w:val="both"/>
        <w:textAlignment w:val="auto"/>
        <w:rPr>
          <w:rFonts w:hint="default" w:ascii="仿宋_GB2312" w:hAnsi="仿宋_GB2312" w:eastAsia="仿宋_GB2312" w:cs="仿宋_GB2312"/>
          <w:color w:val="auto"/>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79" w:lineRule="exact"/>
        <w:jc w:val="both"/>
        <w:textAlignment w:val="auto"/>
        <w:rPr>
          <w:rFonts w:hint="default" w:ascii="仿宋_GB2312" w:hAnsi="仿宋_GB2312" w:eastAsia="仿宋_GB2312" w:cs="仿宋_GB2312"/>
          <w:color w:val="auto"/>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79" w:lineRule="exact"/>
        <w:ind w:firstLine="5120" w:firstLineChars="16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河南开放大学</w:t>
      </w:r>
    </w:p>
    <w:p>
      <w:pPr>
        <w:keepNext w:val="0"/>
        <w:keepLines w:val="0"/>
        <w:pageBreakBefore w:val="0"/>
        <w:widowControl w:val="0"/>
        <w:kinsoku/>
        <w:wordWrap w:val="0"/>
        <w:overflowPunct/>
        <w:topLinePunct w:val="0"/>
        <w:autoSpaceDE/>
        <w:autoSpaceDN/>
        <w:bidi w:val="0"/>
        <w:adjustRightInd/>
        <w:snapToGrid/>
        <w:spacing w:line="579" w:lineRule="exact"/>
        <w:ind w:right="840" w:rightChars="400"/>
        <w:jc w:val="center"/>
        <w:textAlignment w:val="auto"/>
        <w:rPr>
          <w:rFonts w:hint="eastAsia" w:ascii="仿宋_GB2312" w:hAnsi="仿宋_GB2312" w:eastAsia="仿宋_GB2312" w:cs="仿宋_GB2312"/>
          <w:color w:val="auto"/>
          <w:sz w:val="32"/>
          <w:szCs w:val="32"/>
          <w:lang w:val="en-US" w:eastAsia="zh-CN"/>
        </w:rPr>
      </w:pPr>
      <w:r>
        <w:rPr>
          <w:rFonts w:hint="eastAsia" w:ascii="方正小标宋简体" w:eastAsia="方正小标宋简体"/>
          <w:color w:val="FF0000"/>
          <w:sz w:val="66"/>
          <w:szCs w:val="66"/>
          <w:lang w:bidi="mn-Mong-CN"/>
        </w:rPr>
        <mc:AlternateContent>
          <mc:Choice Requires="wps">
            <w:drawing>
              <wp:anchor distT="0" distB="0" distL="114300" distR="114300" simplePos="0" relativeHeight="251660288" behindDoc="0" locked="0" layoutInCell="1" allowOverlap="1">
                <wp:simplePos x="0" y="0"/>
                <wp:positionH relativeFrom="column">
                  <wp:posOffset>13970</wp:posOffset>
                </wp:positionH>
                <wp:positionV relativeFrom="page">
                  <wp:posOffset>9529445</wp:posOffset>
                </wp:positionV>
                <wp:extent cx="5556885" cy="1905"/>
                <wp:effectExtent l="0" t="25400" r="5715" b="29845"/>
                <wp:wrapNone/>
                <wp:docPr id="3" name="直接连接符 3"/>
                <wp:cNvGraphicFramePr/>
                <a:graphic xmlns:a="http://schemas.openxmlformats.org/drawingml/2006/main">
                  <a:graphicData uri="http://schemas.microsoft.com/office/word/2010/wordprocessingShape">
                    <wps:wsp>
                      <wps:cNvCnPr/>
                      <wps:spPr>
                        <a:xfrm>
                          <a:off x="0" y="0"/>
                          <a:ext cx="5556885" cy="1905"/>
                        </a:xfrm>
                        <a:prstGeom prst="line">
                          <a:avLst/>
                        </a:prstGeom>
                        <a:ln w="50800" cmpd="thinThick">
                          <a:no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pt;margin-top:750.35pt;height:0.15pt;width:437.55pt;mso-position-vertical-relative:page;z-index:251660288;mso-width-relative:page;mso-height-relative:page;" filled="f" stroked="f" coordsize="21600,21600" o:gfxdata="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YDMRpdkAAAALAQAADwAA&#10;AAAAAAABACAAAAAiAAAAZHJzL2Rvd25yZXYueG1sUEsBAhQAFAAAAAgAh07iQI4OhLzcAQAAkgMA&#10;AA4AAAAAAAAAAQAgAAAAKAEAAGRycy9lMm9Eb2MueG1sUEsFBgAAAAAGAAYAWQEAAHYFAAAAAA==&#10;">
                <v:fill on="f" focussize="0,0"/>
                <v:stroke on="f" weight="4pt" linestyle="thinThick" miterlimit="8" joinstyle="miter"/>
                <v:imagedata o:title=""/>
                <o:lock v:ext="edit" aspectratio="f"/>
              </v:line>
            </w:pict>
          </mc:Fallback>
        </mc:AlternateContent>
      </w:r>
      <w:r>
        <w:rPr>
          <w:rFonts w:hint="eastAsia" w:ascii="仿宋_GB2312" w:hAnsi="仿宋_GB2312" w:eastAsia="仿宋_GB2312" w:cs="仿宋_GB2312"/>
          <w:color w:val="auto"/>
          <w:sz w:val="32"/>
          <w:szCs w:val="32"/>
          <w:lang w:val="en-US" w:eastAsia="zh-CN"/>
        </w:rPr>
        <w:t xml:space="preserve">                         2024年4月12日</w:t>
      </w:r>
    </w:p>
    <w:p>
      <w:pPr>
        <w:keepNext w:val="0"/>
        <w:keepLines w:val="0"/>
        <w:pageBreakBefore w:val="0"/>
        <w:widowControl w:val="0"/>
        <w:kinsoku/>
        <w:wordWrap/>
        <w:overflowPunct/>
        <w:topLinePunct w:val="0"/>
        <w:autoSpaceDE/>
        <w:autoSpaceDN/>
        <w:bidi w:val="0"/>
        <w:adjustRightInd/>
        <w:snapToGrid/>
        <w:spacing w:line="579" w:lineRule="exact"/>
        <w:ind w:right="840" w:rightChars="400"/>
        <w:jc w:val="righ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840" w:rightChars="400"/>
        <w:jc w:val="righ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840" w:rightChars="400"/>
        <w:jc w:val="righ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840" w:rightChars="400"/>
        <w:jc w:val="righ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840" w:rightChars="400"/>
        <w:jc w:val="righ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840" w:rightChars="400"/>
        <w:jc w:val="righ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840" w:rightChars="400"/>
        <w:jc w:val="righ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840" w:rightChars="400"/>
        <w:jc w:val="righ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840" w:rightChars="400"/>
        <w:jc w:val="righ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840" w:rightChars="400"/>
        <w:jc w:val="right"/>
        <w:textAlignment w:val="auto"/>
        <w:rPr>
          <w:rFonts w:hint="eastAsia" w:ascii="仿宋_GB2312" w:hAnsi="仿宋_GB2312" w:eastAsia="仿宋_GB2312" w:cs="仿宋_GB2312"/>
          <w:color w:val="auto"/>
          <w:sz w:val="32"/>
          <w:szCs w:val="32"/>
          <w:lang w:val="en-US" w:eastAsia="zh-CN"/>
        </w:rPr>
        <w:sectPr>
          <w:footerReference r:id="rId3" w:type="default"/>
          <w:pgSz w:w="11906" w:h="16838"/>
          <w:pgMar w:top="1701" w:right="1531" w:bottom="1984" w:left="1531" w:header="851" w:footer="1134" w:gutter="0"/>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val="0"/>
        <w:snapToGrid w:val="0"/>
        <w:spacing w:line="559" w:lineRule="exact"/>
        <w:ind w:right="824" w:rightChars="400"/>
        <w:jc w:val="both"/>
        <w:textAlignment w:val="auto"/>
        <w:rPr>
          <w:rFonts w:hint="default" w:ascii="黑体" w:hAnsi="黑体" w:eastAsia="黑体" w:cs="黑体"/>
          <w:snapToGrid w:val="0"/>
          <w:spacing w:val="20"/>
          <w:kern w:val="0"/>
          <w:sz w:val="32"/>
          <w:szCs w:val="32"/>
          <w:lang w:val="en-US" w:eastAsia="zh-CN"/>
        </w:rPr>
      </w:pPr>
      <w:r>
        <w:rPr>
          <w:rFonts w:hint="eastAsia" w:ascii="黑体" w:hAnsi="黑体" w:eastAsia="黑体" w:cs="黑体"/>
          <w:snapToGrid w:val="0"/>
          <w:spacing w:val="20"/>
          <w:kern w:val="0"/>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after="240" w:line="700" w:lineRule="exact"/>
        <w:jc w:val="center"/>
        <w:textAlignment w:val="auto"/>
        <w:rPr>
          <w:rFonts w:hint="eastAsia" w:ascii="Calibri" w:hAnsi="Calibri" w:eastAsia="方正小标宋简体" w:cs="Times New Roman"/>
          <w:b/>
          <w:sz w:val="40"/>
          <w:szCs w:val="40"/>
          <w:lang w:val="en-US" w:eastAsia="zh-CN"/>
        </w:rPr>
      </w:pPr>
      <w:r>
        <w:rPr>
          <w:rFonts w:hint="eastAsia" w:ascii="方正小标宋简体" w:hAnsi="方正小标宋简体" w:eastAsia="方正小标宋简体" w:cs="方正小标宋简体"/>
          <w:b w:val="0"/>
          <w:bCs/>
          <w:spacing w:val="-17"/>
          <w:sz w:val="40"/>
          <w:szCs w:val="40"/>
          <w:lang w:val="en-US" w:eastAsia="zh-CN"/>
        </w:rPr>
        <w:t>河南开放大学</w:t>
      </w:r>
      <w:r>
        <w:rPr>
          <w:rFonts w:hint="eastAsia" w:ascii="方正小标宋简体" w:hAnsi="方正小标宋简体" w:eastAsia="方正小标宋简体" w:cs="方正小标宋简体"/>
          <w:b w:val="0"/>
          <w:bCs/>
          <w:spacing w:val="-17"/>
          <w:sz w:val="40"/>
          <w:szCs w:val="40"/>
        </w:rPr>
        <w:t>高</w:t>
      </w:r>
      <w:r>
        <w:rPr>
          <w:rFonts w:hint="eastAsia" w:ascii="方正小标宋简体" w:hAnsi="方正小标宋简体" w:eastAsia="方正小标宋简体" w:cs="方正小标宋简体"/>
          <w:b w:val="0"/>
          <w:bCs/>
          <w:spacing w:val="-17"/>
          <w:sz w:val="40"/>
          <w:szCs w:val="40"/>
          <w:lang w:val="en-US" w:eastAsia="zh-CN"/>
        </w:rPr>
        <w:t>等学历继续教育</w:t>
      </w:r>
      <w:r>
        <w:rPr>
          <w:rFonts w:hint="eastAsia" w:ascii="方正小标宋简体" w:hAnsi="方正小标宋简体" w:eastAsia="方正小标宋简体" w:cs="方正小标宋简体"/>
          <w:b w:val="0"/>
          <w:bCs/>
          <w:spacing w:val="-17"/>
          <w:sz w:val="40"/>
          <w:szCs w:val="40"/>
        </w:rPr>
        <w:t>学分转换操作</w:t>
      </w:r>
      <w:r>
        <w:rPr>
          <w:rFonts w:hint="eastAsia" w:ascii="方正小标宋简体" w:hAnsi="方正小标宋简体" w:eastAsia="方正小标宋简体" w:cs="方正小标宋简体"/>
          <w:b w:val="0"/>
          <w:bCs/>
          <w:spacing w:val="-17"/>
          <w:sz w:val="40"/>
          <w:szCs w:val="40"/>
          <w:lang w:val="en-US" w:eastAsia="zh-CN"/>
        </w:rPr>
        <w:t>指南</w:t>
      </w:r>
    </w:p>
    <w:p>
      <w:pPr>
        <w:spacing w:line="240" w:lineRule="auto"/>
        <w:ind w:firstLine="632" w:firstLineChars="200"/>
        <w:rPr>
          <w:rFonts w:hint="eastAsia" w:ascii="黑体" w:hAnsi="黑体" w:eastAsia="黑体" w:cs="黑体"/>
          <w:b w:val="0"/>
          <w:bCs/>
          <w:sz w:val="32"/>
          <w:szCs w:val="32"/>
        </w:rPr>
      </w:pPr>
      <w:r>
        <w:rPr>
          <w:rFonts w:hint="eastAsia" w:ascii="黑体" w:hAnsi="黑体" w:eastAsia="黑体" w:cs="黑体"/>
          <w:b w:val="0"/>
          <w:bCs/>
          <w:sz w:val="32"/>
          <w:szCs w:val="32"/>
        </w:rPr>
        <w:t>一、查看转换细则方式</w:t>
      </w:r>
    </w:p>
    <w:p>
      <w:pPr>
        <w:keepNext w:val="0"/>
        <w:keepLines w:val="0"/>
        <w:pageBreakBefore w:val="0"/>
        <w:widowControl w:val="0"/>
        <w:kinsoku/>
        <w:wordWrap w:val="0"/>
        <w:overflowPunct/>
        <w:topLinePunct w:val="0"/>
        <w:autoSpaceDE/>
        <w:autoSpaceDN/>
        <w:bidi w:val="0"/>
        <w:adjustRightInd/>
        <w:snapToGrid/>
        <w:spacing w:line="240" w:lineRule="auto"/>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Cs/>
          <w:sz w:val="32"/>
          <w:szCs w:val="32"/>
        </w:rPr>
        <w:t>1.</w:t>
      </w:r>
      <w:r>
        <w:rPr>
          <w:rFonts w:hint="eastAsia" w:ascii="仿宋_GB2312" w:hAnsi="仿宋_GB2312" w:eastAsia="仿宋_GB2312" w:cs="仿宋_GB2312"/>
          <w:bCs/>
          <w:sz w:val="32"/>
          <w:szCs w:val="32"/>
          <w:lang w:val="en-US" w:eastAsia="zh-CN"/>
        </w:rPr>
        <w:t>学生</w:t>
      </w:r>
      <w:r>
        <w:rPr>
          <w:rFonts w:hint="eastAsia" w:ascii="仿宋_GB2312" w:hAnsi="仿宋_GB2312" w:eastAsia="仿宋_GB2312" w:cs="仿宋_GB2312"/>
          <w:bCs/>
          <w:sz w:val="32"/>
          <w:szCs w:val="32"/>
        </w:rPr>
        <w:t>查看转换</w:t>
      </w:r>
      <w:r>
        <w:rPr>
          <w:rFonts w:hint="eastAsia" w:ascii="仿宋_GB2312" w:hAnsi="仿宋_GB2312" w:eastAsia="仿宋_GB2312" w:cs="仿宋_GB2312"/>
          <w:bCs/>
          <w:sz w:val="32"/>
          <w:szCs w:val="32"/>
          <w:lang w:val="en-US" w:eastAsia="zh-CN"/>
        </w:rPr>
        <w:t>规则</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可</w:t>
      </w:r>
      <w:r>
        <w:rPr>
          <w:rFonts w:hint="eastAsia" w:ascii="仿宋_GB2312" w:hAnsi="仿宋_GB2312" w:eastAsia="仿宋_GB2312" w:cs="仿宋_GB2312"/>
          <w:sz w:val="32"/>
          <w:szCs w:val="32"/>
        </w:rPr>
        <w:t>访问河南省</w:t>
      </w:r>
      <w:r>
        <w:rPr>
          <w:rFonts w:hint="eastAsia" w:ascii="仿宋_GB2312" w:hAnsi="仿宋_GB2312" w:eastAsia="仿宋_GB2312" w:cs="仿宋_GB2312"/>
          <w:sz w:val="32"/>
          <w:szCs w:val="32"/>
          <w:lang w:val="en-US" w:eastAsia="zh-CN"/>
        </w:rPr>
        <w:t>终身教育学分银行网站</w:t>
      </w:r>
      <w:r>
        <w:rPr>
          <w:rFonts w:hint="eastAsia" w:ascii="仿宋_GB2312" w:hAnsi="仿宋_GB2312" w:eastAsia="仿宋_GB2312" w:cs="仿宋_GB2312"/>
          <w:sz w:val="32"/>
          <w:szCs w:val="32"/>
        </w:rPr>
        <w:t>（http://xfyh.open.ha.cn/hn_cbank_cms/zhbz/index.jhtml）</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选择顶部菜单</w:t>
      </w:r>
      <w:r>
        <w:rPr>
          <w:rFonts w:hint="eastAsia" w:ascii="仿宋_GB2312" w:hAnsi="仿宋_GB2312" w:eastAsia="仿宋_GB2312" w:cs="仿宋_GB2312"/>
          <w:sz w:val="32"/>
          <w:szCs w:val="32"/>
          <w:lang w:val="en-US" w:eastAsia="zh-CN"/>
        </w:rPr>
        <w:t>标准体系</w:t>
      </w:r>
      <w:r>
        <w:rPr>
          <w:rFonts w:hint="eastAsia" w:ascii="仿宋_GB2312" w:hAnsi="仿宋_GB2312" w:eastAsia="仿宋_GB2312" w:cs="仿宋_GB2312"/>
          <w:sz w:val="32"/>
          <w:szCs w:val="32"/>
        </w:rPr>
        <w:t>的“</w:t>
      </w:r>
      <w:r>
        <w:rPr>
          <w:rFonts w:hint="eastAsia" w:ascii="仿宋_GB2312" w:hAnsi="仿宋_GB2312" w:eastAsia="仿宋_GB2312" w:cs="仿宋_GB2312"/>
          <w:b/>
          <w:sz w:val="32"/>
          <w:szCs w:val="32"/>
        </w:rPr>
        <w:t>转换标准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也可登录高等学历继续教育学习平台（云上河开），查看路径为“事务</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lang w:val="en-US" w:eastAsia="zh-CN"/>
        </w:rPr>
        <w:t>查看学分转换规则</w:t>
      </w:r>
      <w:r>
        <w:rPr>
          <w:rFonts w:hint="eastAsia" w:ascii="仿宋_GB2312" w:hAnsi="仿宋_GB2312" w:eastAsia="仿宋_GB2312" w:cs="仿宋_GB2312"/>
          <w:sz w:val="32"/>
          <w:szCs w:val="32"/>
          <w:lang w:val="en-US" w:eastAsia="zh-CN"/>
        </w:rPr>
        <w:t>”，页面如下图所示：</w:t>
      </w:r>
    </w:p>
    <w:p>
      <w:pPr>
        <w:ind w:firstLine="645"/>
        <w:rPr>
          <w:rFonts w:hint="default" w:ascii="仿宋_GB2312" w:hAnsi="仿宋_GB2312" w:eastAsia="宋体" w:cs="仿宋_GB2312"/>
          <w:sz w:val="32"/>
          <w:szCs w:val="32"/>
          <w:lang w:val="en-US" w:eastAsia="zh-CN"/>
        </w:rPr>
      </w:pPr>
      <w:r>
        <w:rPr>
          <w:rFonts w:ascii="宋体" w:hAnsi="宋体" w:eastAsia="宋体" w:cs="宋体"/>
          <w:sz w:val="24"/>
          <w:szCs w:val="24"/>
        </w:rPr>
        <w:drawing>
          <wp:anchor distT="0" distB="0" distL="114935" distR="114935" simplePos="0" relativeHeight="251665408" behindDoc="0" locked="0" layoutInCell="1" allowOverlap="1">
            <wp:simplePos x="0" y="0"/>
            <wp:positionH relativeFrom="column">
              <wp:posOffset>3601720</wp:posOffset>
            </wp:positionH>
            <wp:positionV relativeFrom="paragraph">
              <wp:posOffset>76200</wp:posOffset>
            </wp:positionV>
            <wp:extent cx="1532890" cy="2540000"/>
            <wp:effectExtent l="0" t="0" r="10160" b="12700"/>
            <wp:wrapSquare wrapText="bothSides"/>
            <wp:docPr id="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6"/>
                    <pic:cNvPicPr>
                      <a:picLocks noChangeAspect="1"/>
                    </pic:cNvPicPr>
                  </pic:nvPicPr>
                  <pic:blipFill>
                    <a:blip r:embed="rId5"/>
                    <a:stretch>
                      <a:fillRect/>
                    </a:stretch>
                  </pic:blipFill>
                  <pic:spPr>
                    <a:xfrm>
                      <a:off x="0" y="0"/>
                      <a:ext cx="1532890" cy="2540000"/>
                    </a:xfrm>
                    <a:prstGeom prst="rect">
                      <a:avLst/>
                    </a:prstGeom>
                    <a:noFill/>
                    <a:ln w="9525">
                      <a:noFill/>
                    </a:ln>
                  </pic:spPr>
                </pic:pic>
              </a:graphicData>
            </a:graphic>
          </wp:anchor>
        </w:drawing>
      </w:r>
      <w:r>
        <w:rPr>
          <w:rFonts w:ascii="宋体" w:hAnsi="宋体" w:eastAsia="宋体" w:cs="宋体"/>
          <w:sz w:val="24"/>
          <w:szCs w:val="24"/>
        </w:rPr>
        <w:drawing>
          <wp:anchor distT="0" distB="0" distL="114300" distR="114300" simplePos="0" relativeHeight="251664384" behindDoc="0" locked="0" layoutInCell="1" allowOverlap="1">
            <wp:simplePos x="0" y="0"/>
            <wp:positionH relativeFrom="column">
              <wp:posOffset>132715</wp:posOffset>
            </wp:positionH>
            <wp:positionV relativeFrom="paragraph">
              <wp:posOffset>76200</wp:posOffset>
            </wp:positionV>
            <wp:extent cx="2689225" cy="2441575"/>
            <wp:effectExtent l="0" t="0" r="15875" b="15875"/>
            <wp:wrapSquare wrapText="bothSides"/>
            <wp:docPr id="9"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IMG_256"/>
                    <pic:cNvPicPr>
                      <a:picLocks noChangeAspect="1"/>
                    </pic:cNvPicPr>
                  </pic:nvPicPr>
                  <pic:blipFill>
                    <a:blip r:embed="rId6"/>
                    <a:stretch>
                      <a:fillRect/>
                    </a:stretch>
                  </pic:blipFill>
                  <pic:spPr>
                    <a:xfrm>
                      <a:off x="0" y="0"/>
                      <a:ext cx="2689225" cy="2441575"/>
                    </a:xfrm>
                    <a:prstGeom prst="rect">
                      <a:avLst/>
                    </a:prstGeom>
                    <a:noFill/>
                    <a:ln w="9525">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default" w:ascii="仿宋_GB2312" w:hAnsi="仿宋_GB2312" w:eastAsia="宋体" w:cs="仿宋_GB2312"/>
          <w:sz w:val="32"/>
          <w:szCs w:val="32"/>
          <w:lang w:val="en-US" w:eastAsia="zh-CN"/>
        </w:rPr>
        <w:drawing>
          <wp:anchor distT="0" distB="0" distL="114300" distR="114300" simplePos="0" relativeHeight="251663360" behindDoc="0" locked="0" layoutInCell="1" allowOverlap="1">
            <wp:simplePos x="0" y="0"/>
            <wp:positionH relativeFrom="column">
              <wp:posOffset>-2917825</wp:posOffset>
            </wp:positionH>
            <wp:positionV relativeFrom="paragraph">
              <wp:posOffset>1134110</wp:posOffset>
            </wp:positionV>
            <wp:extent cx="5607050" cy="1745615"/>
            <wp:effectExtent l="0" t="0" r="12700" b="6985"/>
            <wp:wrapSquare wrapText="bothSides"/>
            <wp:docPr id="10" name="图片 2" descr="mmexport1663037557728_edit_397441430297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mmexport1663037557728_edit_397441430297165"/>
                    <pic:cNvPicPr>
                      <a:picLocks noChangeAspect="1"/>
                    </pic:cNvPicPr>
                  </pic:nvPicPr>
                  <pic:blipFill>
                    <a:blip r:embed="rId7"/>
                    <a:stretch>
                      <a:fillRect/>
                    </a:stretch>
                  </pic:blipFill>
                  <pic:spPr>
                    <a:xfrm>
                      <a:off x="0" y="0"/>
                      <a:ext cx="5607050" cy="174561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2.</w:t>
      </w:r>
      <w:r>
        <w:rPr>
          <w:rFonts w:hint="eastAsia" w:ascii="仿宋_GB2312" w:hAnsi="仿宋_GB2312" w:eastAsia="仿宋_GB2312" w:cs="仿宋_GB2312"/>
          <w:bCs/>
          <w:sz w:val="32"/>
          <w:szCs w:val="32"/>
          <w:lang w:val="en-US" w:eastAsia="zh-CN"/>
        </w:rPr>
        <w:t>校区工作人员</w:t>
      </w:r>
      <w:r>
        <w:rPr>
          <w:rFonts w:hint="eastAsia" w:ascii="仿宋_GB2312" w:hAnsi="仿宋_GB2312" w:eastAsia="仿宋_GB2312" w:cs="仿宋_GB2312"/>
          <w:bCs/>
          <w:sz w:val="32"/>
          <w:szCs w:val="32"/>
        </w:rPr>
        <w:t>查看</w:t>
      </w:r>
      <w:r>
        <w:rPr>
          <w:rFonts w:hint="eastAsia" w:ascii="仿宋_GB2312" w:hAnsi="仿宋_GB2312" w:eastAsia="仿宋_GB2312" w:cs="仿宋_GB2312"/>
          <w:bCs/>
          <w:sz w:val="32"/>
          <w:szCs w:val="32"/>
          <w:lang w:val="en-US" w:eastAsia="zh-CN"/>
        </w:rPr>
        <w:t>转换规则</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可</w:t>
      </w:r>
      <w:r>
        <w:rPr>
          <w:rFonts w:hint="eastAsia" w:ascii="仿宋_GB2312" w:hAnsi="仿宋_GB2312" w:eastAsia="仿宋_GB2312" w:cs="仿宋_GB2312"/>
          <w:bCs/>
          <w:sz w:val="32"/>
          <w:szCs w:val="32"/>
        </w:rPr>
        <w:t>访问高职扩招教务平台。查看路径为“学籍管理</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查询统计</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查询学分转换规则”，页面如下图所示</w:t>
      </w:r>
      <w:r>
        <w:rPr>
          <w:rFonts w:hint="eastAsia" w:ascii="仿宋_GB2312" w:hAnsi="仿宋_GB2312" w:eastAsia="仿宋_GB2312" w:cs="仿宋_GB2312"/>
          <w:bCs/>
          <w:sz w:val="32"/>
          <w:szCs w:val="32"/>
          <w:lang w:eastAsia="zh-CN"/>
        </w:rPr>
        <w:t>：</w:t>
      </w:r>
    </w:p>
    <w:p>
      <w:pPr>
        <w:ind w:firstLine="660"/>
        <w:rPr>
          <w:rFonts w:ascii="Calibri" w:hAnsi="Calibri" w:eastAsia="宋体" w:cs="Times New Roman"/>
          <w:sz w:val="32"/>
          <w:szCs w:val="32"/>
        </w:rPr>
      </w:pPr>
      <w:r>
        <w:rPr>
          <w:rFonts w:ascii="Calibri" w:hAnsi="Calibri" w:eastAsia="宋体" w:cs="Times New Roman"/>
          <w:sz w:val="21"/>
          <w:szCs w:val="22"/>
        </w:rPr>
        <w:drawing>
          <wp:inline distT="0" distB="0" distL="114300" distR="114300">
            <wp:extent cx="4440555" cy="1821180"/>
            <wp:effectExtent l="0" t="0" r="17145" b="762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8"/>
                    <a:stretch>
                      <a:fillRect/>
                    </a:stretch>
                  </pic:blipFill>
                  <pic:spPr>
                    <a:xfrm>
                      <a:off x="0" y="0"/>
                      <a:ext cx="4440555" cy="1821180"/>
                    </a:xfrm>
                    <a:prstGeom prst="rect">
                      <a:avLst/>
                    </a:prstGeom>
                    <a:noFill/>
                    <a:ln>
                      <a:noFill/>
                    </a:ln>
                  </pic:spPr>
                </pic:pic>
              </a:graphicData>
            </a:graphic>
          </wp:inline>
        </w:drawing>
      </w:r>
      <w:r>
        <w:rPr>
          <w:rFonts w:hint="eastAsia" w:ascii="Calibri" w:hAnsi="Calibri" w:eastAsia="宋体"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二、学分认定和转换操作方法</w:t>
      </w:r>
    </w:p>
    <w:p>
      <w:pPr>
        <w:keepNext w:val="0"/>
        <w:keepLines w:val="0"/>
        <w:pageBreakBefore w:val="0"/>
        <w:widowControl w:val="0"/>
        <w:kinsoku/>
        <w:wordWrap/>
        <w:overflowPunct/>
        <w:topLinePunct w:val="0"/>
        <w:autoSpaceDE/>
        <w:autoSpaceDN/>
        <w:bidi w:val="0"/>
        <w:adjustRightInd/>
        <w:snapToGrid/>
        <w:spacing w:line="240" w:lineRule="auto"/>
        <w:ind w:firstLine="632"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学分认定和转换操作页面路径为：学籍管理</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学分转换</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初审学分转换。</w:t>
      </w:r>
    </w:p>
    <w:p>
      <w:pPr>
        <w:keepNext w:val="0"/>
        <w:keepLines w:val="0"/>
        <w:pageBreakBefore w:val="0"/>
        <w:widowControl w:val="0"/>
        <w:kinsoku/>
        <w:wordWrap/>
        <w:overflowPunct/>
        <w:topLinePunct w:val="0"/>
        <w:autoSpaceDE/>
        <w:autoSpaceDN/>
        <w:bidi w:val="0"/>
        <w:adjustRightInd/>
        <w:snapToGrid/>
        <w:spacing w:line="240" w:lineRule="auto"/>
        <w:ind w:firstLine="632" w:firstLineChars="200"/>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1.学分认定和转换申请</w:t>
      </w:r>
    </w:p>
    <w:p>
      <w:pPr>
        <w:keepNext w:val="0"/>
        <w:keepLines w:val="0"/>
        <w:pageBreakBefore w:val="0"/>
        <w:widowControl w:val="0"/>
        <w:kinsoku/>
        <w:wordWrap/>
        <w:overflowPunct/>
        <w:topLinePunct w:val="0"/>
        <w:autoSpaceDE/>
        <w:autoSpaceDN/>
        <w:bidi w:val="0"/>
        <w:adjustRightInd/>
        <w:snapToGrid/>
        <w:spacing w:line="240" w:lineRule="auto"/>
        <w:ind w:firstLine="632"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点击“添加”，弹出申请学分转换窗口，如下图所示。</w:t>
      </w:r>
    </w:p>
    <w:p>
      <w:pPr>
        <w:ind w:firstLine="412" w:firstLineChars="200"/>
        <w:jc w:val="left"/>
        <w:rPr>
          <w:rFonts w:ascii="Calibri" w:hAnsi="Calibri" w:eastAsia="宋体" w:cs="Times New Roman"/>
          <w:sz w:val="32"/>
          <w:szCs w:val="32"/>
        </w:rPr>
      </w:pPr>
      <w:r>
        <w:rPr>
          <w:rFonts w:ascii="Calibri" w:hAnsi="Calibri" w:eastAsia="宋体" w:cs="Times New Roman"/>
          <w:sz w:val="21"/>
          <w:szCs w:val="22"/>
        </w:rPr>
        <w:drawing>
          <wp:inline distT="0" distB="0" distL="114300" distR="114300">
            <wp:extent cx="4311015" cy="2606040"/>
            <wp:effectExtent l="0" t="0" r="13335" b="381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9"/>
                    <a:stretch>
                      <a:fillRect/>
                    </a:stretch>
                  </pic:blipFill>
                  <pic:spPr>
                    <a:xfrm>
                      <a:off x="0" y="0"/>
                      <a:ext cx="4311015" cy="2606040"/>
                    </a:xfrm>
                    <a:prstGeom prst="rect">
                      <a:avLst/>
                    </a:prstGeom>
                    <a:noFill/>
                    <a:ln>
                      <a:noFill/>
                    </a:ln>
                  </pic:spPr>
                </pic:pic>
              </a:graphicData>
            </a:graphic>
          </wp:inline>
        </w:drawing>
      </w:r>
    </w:p>
    <w:p>
      <w:pPr>
        <w:ind w:firstLine="412" w:firstLineChars="200"/>
        <w:rPr>
          <w:rFonts w:ascii="Calibri" w:hAnsi="Calibri" w:eastAsia="宋体" w:cs="Times New Roman"/>
          <w:sz w:val="32"/>
          <w:szCs w:val="32"/>
        </w:rPr>
      </w:pPr>
      <w:r>
        <w:rPr>
          <w:rFonts w:ascii="Calibri" w:hAnsi="Calibri" w:eastAsia="宋体" w:cs="Times New Roman"/>
          <w:sz w:val="21"/>
          <w:szCs w:val="22"/>
        </w:rPr>
        <w:drawing>
          <wp:inline distT="0" distB="0" distL="114300" distR="114300">
            <wp:extent cx="4488815" cy="3970655"/>
            <wp:effectExtent l="0" t="0" r="6985" b="1079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0"/>
                    <a:stretch>
                      <a:fillRect/>
                    </a:stretch>
                  </pic:blipFill>
                  <pic:spPr>
                    <a:xfrm>
                      <a:off x="0" y="0"/>
                      <a:ext cx="4488815" cy="39706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在上图所示申请学分转换窗口中，首先，录入学号，查询学生信息；其次，根据学习成果和转换细则，在窗口中选择转换类型、成果类型、成果名称。</w:t>
      </w:r>
    </w:p>
    <w:p>
      <w:pPr>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选择完毕后，若窗口下方的可转换课程列表中出现待选课程，则勾选要转换的课程；若窗口下方的可转换课程列表中无任何课程，则表示该成果当前学期无可转换课程，可在其他学期申请。</w:t>
      </w:r>
    </w:p>
    <w:p>
      <w:pPr>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最后，由校区管理人员上传身份证、学习成果等材料照片，并提交申请。</w:t>
      </w:r>
    </w:p>
    <w:p>
      <w:pPr>
        <w:keepNext w:val="0"/>
        <w:keepLines w:val="0"/>
        <w:pageBreakBefore w:val="0"/>
        <w:widowControl w:val="0"/>
        <w:kinsoku/>
        <w:wordWrap/>
        <w:overflowPunct/>
        <w:topLinePunct w:val="0"/>
        <w:autoSpaceDE/>
        <w:autoSpaceDN/>
        <w:bidi w:val="0"/>
        <w:adjustRightInd/>
        <w:snapToGrid/>
        <w:spacing w:line="240" w:lineRule="auto"/>
        <w:ind w:firstLine="632" w:firstLineChars="200"/>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mc:AlternateContent>
          <mc:Choice Requires="wps">
            <w:drawing>
              <wp:anchor distT="0" distB="0" distL="114300" distR="114300" simplePos="0" relativeHeight="251662336" behindDoc="0" locked="0" layoutInCell="1" allowOverlap="1">
                <wp:simplePos x="0" y="0"/>
                <wp:positionH relativeFrom="column">
                  <wp:posOffset>4305300</wp:posOffset>
                </wp:positionH>
                <wp:positionV relativeFrom="paragraph">
                  <wp:posOffset>2192655</wp:posOffset>
                </wp:positionV>
                <wp:extent cx="314325" cy="161925"/>
                <wp:effectExtent l="4445" t="4445" r="5080" b="5080"/>
                <wp:wrapNone/>
                <wp:docPr id="14" name="矩形 14"/>
                <wp:cNvGraphicFramePr/>
                <a:graphic xmlns:a="http://schemas.openxmlformats.org/drawingml/2006/main">
                  <a:graphicData uri="http://schemas.microsoft.com/office/word/2010/wordprocessingShape">
                    <wps:wsp>
                      <wps:cNvSpPr/>
                      <wps:spPr>
                        <a:xfrm>
                          <a:off x="0" y="0"/>
                          <a:ext cx="314325" cy="161925"/>
                        </a:xfrm>
                        <a:prstGeom prst="rect">
                          <a:avLst/>
                        </a:prstGeom>
                        <a:noFill/>
                        <a:ln w="9525" cap="flat" cmpd="sng">
                          <a:solidFill>
                            <a:srgbClr val="FF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9pt;margin-top:172.65pt;height:12.75pt;width:24.75pt;z-index:251662336;mso-width-relative:page;mso-height-relative:page;" filled="f" stroked="t" coordsize="21600,21600" o:gfxdata="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WPWuftwAAAALAQAADwAAAAAAAAABACAAAAAiAAAAZHJzL2Rvd25yZXYu&#10;eG1sUEsBAhQAFAAAAAgAh07iQHmpH0H3AQAA9gMAAA4AAAAAAAAAAQAgAAAAKwEAAGRycy9lMm9E&#10;b2MueG1sUEsFBgAAAAAGAAYAWQEAAJQFAAAAAA==&#10;">
                <v:fill on="f" focussize="0,0"/>
                <v:stroke color="#FF0000" joinstyle="miter"/>
                <v:imagedata o:title=""/>
                <o:lock v:ext="edit" aspectratio="f"/>
              </v:rect>
            </w:pict>
          </mc:Fallback>
        </mc:AlternateContent>
      </w:r>
      <w:r>
        <w:rPr>
          <w:rFonts w:hint="eastAsia" w:ascii="仿宋_GB2312" w:hAnsi="仿宋_GB2312" w:eastAsia="仿宋_GB2312" w:cs="仿宋_GB2312"/>
          <w:b/>
          <w:bCs w:val="0"/>
          <w:sz w:val="32"/>
          <w:szCs w:val="32"/>
        </w:rPr>
        <w:t>2.初审操作</w:t>
      </w:r>
    </w:p>
    <w:p>
      <w:pPr>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按照路径：学籍管理</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学分转换</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初审学分转换，即可在初审学分转换申请页面看到学分申请列表，如下图所示。</w:t>
      </w:r>
    </w:p>
    <w:p>
      <w:pPr>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各校区在该列表最右侧“操作”列，完成初审操作。</w:t>
      </w:r>
    </w:p>
    <w:p>
      <w:pPr>
        <w:ind w:firstLine="206" w:firstLineChars="100"/>
        <w:rPr>
          <w:rFonts w:ascii="Calibri" w:hAnsi="Calibri" w:eastAsia="宋体" w:cs="Times New Roman"/>
          <w:sz w:val="32"/>
          <w:szCs w:val="32"/>
        </w:rPr>
      </w:pPr>
      <w:r>
        <w:rPr>
          <w:rFonts w:ascii="Calibri" w:hAnsi="Calibri" w:eastAsia="宋体" w:cs="Times New Roman"/>
          <w:sz w:val="21"/>
          <w:szCs w:val="22"/>
        </w:rPr>
        <w:drawing>
          <wp:inline distT="0" distB="0" distL="114300" distR="114300">
            <wp:extent cx="5274310" cy="1897380"/>
            <wp:effectExtent l="0" t="0" r="2540" b="762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11"/>
                    <a:stretch>
                      <a:fillRect/>
                    </a:stretch>
                  </pic:blipFill>
                  <pic:spPr>
                    <a:xfrm>
                      <a:off x="0" y="0"/>
                      <a:ext cx="5274310" cy="189738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632"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三、注意事项</w:t>
      </w:r>
    </w:p>
    <w:p>
      <w:pPr>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1.身份证应上传正面与反面照片。</w:t>
      </w:r>
    </w:p>
    <w:p>
      <w:pPr>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2.各类证件照片应调整至正确方向，再上传平台。</w:t>
      </w:r>
    </w:p>
    <w:p>
      <w:pPr>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3.上传到平台的各类照片均为证件原件彩色照片，上传证件复印件照片视为无效信息。</w:t>
      </w:r>
    </w:p>
    <w:p>
      <w:pPr>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4.上传证件照片，应确保证件内容完整清晰，避免非证件信息背景出现。</w:t>
      </w:r>
    </w:p>
    <w:p>
      <w:pPr>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5.证明材料支持 PNG、JPG、PDF格式，每个材料上传大小限 5M以内。</w:t>
      </w:r>
    </w:p>
    <w:p>
      <w:pPr>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6.转换类型、成果类型、成果名称均为必填项，用以查询出可转换的课程列表； </w:t>
      </w:r>
    </w:p>
    <w:p>
      <w:pPr>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rPr>
        <w:t>7.因申请材料不全未被审核通过者，可在规定时间内补全材料，重新提交申请，并再次制作《高</w:t>
      </w:r>
      <w:r>
        <w:rPr>
          <w:rFonts w:hint="eastAsia" w:ascii="仿宋_GB2312" w:hAnsi="仿宋_GB2312" w:eastAsia="仿宋_GB2312" w:cs="仿宋_GB2312"/>
          <w:bCs/>
          <w:sz w:val="32"/>
          <w:szCs w:val="32"/>
          <w:lang w:val="en-US" w:eastAsia="zh-CN"/>
        </w:rPr>
        <w:t>等学历继续教育学生</w:t>
      </w:r>
      <w:r>
        <w:rPr>
          <w:rFonts w:hint="eastAsia" w:ascii="仿宋_GB2312" w:hAnsi="仿宋_GB2312" w:eastAsia="仿宋_GB2312" w:cs="仿宋_GB2312"/>
          <w:bCs/>
          <w:sz w:val="32"/>
          <w:szCs w:val="32"/>
        </w:rPr>
        <w:t>学分转换申请花名册》，签字盖章后报送学分银行管理中心。</w:t>
      </w:r>
    </w:p>
    <w:p>
      <w:pPr>
        <w:keepNext w:val="0"/>
        <w:keepLines w:val="0"/>
        <w:pageBreakBefore w:val="0"/>
        <w:widowControl w:val="0"/>
        <w:kinsoku/>
        <w:wordWrap/>
        <w:overflowPunct/>
        <w:topLinePunct w:val="0"/>
        <w:autoSpaceDE w:val="0"/>
        <w:autoSpaceDN w:val="0"/>
        <w:bidi w:val="0"/>
        <w:adjustRightInd w:val="0"/>
        <w:snapToGrid w:val="0"/>
        <w:spacing w:line="559" w:lineRule="exact"/>
        <w:ind w:right="824" w:rightChars="400"/>
        <w:jc w:val="left"/>
        <w:textAlignment w:val="auto"/>
        <w:rPr>
          <w:rFonts w:hint="eastAsia" w:ascii="仿宋_GB2312" w:hAnsi="仿宋_GB2312" w:eastAsia="仿宋_GB2312" w:cs="仿宋_GB2312"/>
          <w:bCs/>
          <w:sz w:val="32"/>
          <w:szCs w:val="32"/>
        </w:rPr>
      </w:pPr>
      <w:r>
        <w:rPr>
          <w:rFonts w:hint="eastAsia" w:ascii="黑体" w:hAnsi="黑体" w:eastAsia="黑体" w:cs="黑体"/>
          <w:snapToGrid w:val="0"/>
          <w:spacing w:val="20"/>
          <w:kern w:val="0"/>
          <w:sz w:val="32"/>
          <w:szCs w:val="32"/>
          <w:lang w:val="en-US" w:eastAsia="zh-CN"/>
        </w:rPr>
        <w:t>附件2</w:t>
      </w:r>
      <w:r>
        <w:rPr>
          <w:rFonts w:hint="eastAsia" w:ascii="仿宋_GB2312" w:hAnsi="仿宋_GB2312" w:eastAsia="仿宋_GB2312" w:cs="仿宋_GB2312"/>
          <w:sz w:val="32"/>
          <w:szCs w:val="32"/>
        </w:rPr>
        <w:t xml:space="preserve">               </w:t>
      </w:r>
    </w:p>
    <w:p>
      <w:pPr>
        <w:spacing w:line="700" w:lineRule="exact"/>
        <w:jc w:val="center"/>
        <w:rPr>
          <w:rFonts w:hint="eastAsia" w:ascii="方正小标宋简体" w:hAnsi="Times New Roman" w:eastAsia="方正小标宋简体" w:cs="Times New Roman"/>
          <w:sz w:val="40"/>
          <w:szCs w:val="40"/>
          <w:lang w:val="en-US" w:eastAsia="zh-CN"/>
        </w:rPr>
      </w:pPr>
      <w:r>
        <w:rPr>
          <w:rFonts w:ascii="Times New Roman" w:hAnsi="Times New Roman" w:eastAsia="仿宋_GB2312" w:cs="Times New Roman"/>
          <w:sz w:val="30"/>
          <w:szCs w:val="24"/>
        </w:rPr>
        <mc:AlternateContent>
          <mc:Choice Requires="wps">
            <w:drawing>
              <wp:anchor distT="0" distB="0" distL="114300" distR="114300" simplePos="0" relativeHeight="251666432" behindDoc="1" locked="0" layoutInCell="1" allowOverlap="1">
                <wp:simplePos x="0" y="0"/>
                <wp:positionH relativeFrom="column">
                  <wp:posOffset>-233045</wp:posOffset>
                </wp:positionH>
                <wp:positionV relativeFrom="paragraph">
                  <wp:posOffset>14605</wp:posOffset>
                </wp:positionV>
                <wp:extent cx="6118860" cy="772160"/>
                <wp:effectExtent l="4445" t="4445" r="10795" b="23495"/>
                <wp:wrapNone/>
                <wp:docPr id="5" name="矩形 5"/>
                <wp:cNvGraphicFramePr/>
                <a:graphic xmlns:a="http://schemas.openxmlformats.org/drawingml/2006/main">
                  <a:graphicData uri="http://schemas.microsoft.com/office/word/2010/wordprocessingShape">
                    <wps:wsp>
                      <wps:cNvSpPr/>
                      <wps:spPr>
                        <a:xfrm>
                          <a:off x="739140" y="1430655"/>
                          <a:ext cx="6118860" cy="77216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jc w:val="distribute"/>
                              <w:rPr>
                                <w:rFonts w:hint="default" w:ascii="华文中宋" w:hAnsi="华文中宋" w:eastAsia="华文中宋" w:cs="Times New Roman"/>
                                <w:b/>
                                <w:bCs w:val="0"/>
                                <w:color w:val="FF0000"/>
                                <w:w w:val="80"/>
                                <w:sz w:val="72"/>
                                <w:szCs w:val="72"/>
                                <w:lang w:val="en-US" w:eastAsia="zh-CN"/>
                              </w:rPr>
                            </w:pPr>
                            <w:r>
                              <w:rPr>
                                <w:rFonts w:hint="eastAsia" w:ascii="华文中宋" w:hAnsi="华文中宋" w:eastAsia="华文中宋" w:cs="Times New Roman"/>
                                <w:b/>
                                <w:bCs w:val="0"/>
                                <w:color w:val="FF0000"/>
                                <w:sz w:val="72"/>
                                <w:szCs w:val="72"/>
                              </w:rPr>
                              <w:t>河南省</w:t>
                            </w:r>
                            <w:r>
                              <w:rPr>
                                <w:rFonts w:hint="eastAsia" w:ascii="华文中宋" w:hAnsi="华文中宋" w:eastAsia="华文中宋" w:cs="Times New Roman"/>
                                <w:b/>
                                <w:bCs w:val="0"/>
                                <w:color w:val="FF0000"/>
                                <w:sz w:val="72"/>
                                <w:szCs w:val="72"/>
                                <w:lang w:val="en-US" w:eastAsia="zh-CN"/>
                              </w:rPr>
                              <w:t>终身教育学分银行</w:t>
                            </w:r>
                          </w:p>
                        </w:txbxContent>
                      </wps:txbx>
                      <wps:bodyPr upright="1"/>
                    </wps:wsp>
                  </a:graphicData>
                </a:graphic>
              </wp:anchor>
            </w:drawing>
          </mc:Choice>
          <mc:Fallback>
            <w:pict>
              <v:rect id="_x0000_s1026" o:spid="_x0000_s1026" o:spt="1" style="position:absolute;left:0pt;margin-left:-18.35pt;margin-top:1.15pt;height:60.8pt;width:481.8pt;z-index:-251650048;mso-width-relative:page;mso-height-relative:page;" fillcolor="#FFFFFF" filled="t" stroked="t" coordsize="21600,21600" o:gfxdata="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WiS1dcAAAAJAQAADwAAAAAAAAABACAA&#10;AAAiAAAAZHJzL2Rvd25yZXYueG1sUEsBAhQAFAAAAAgAh07iQJWkc0QOAgAAQgQAAA4AAAAAAAAA&#10;AQAgAAAAJgEAAGRycy9lMm9Eb2MueG1sUEsFBgAAAAAGAAYAWQEAAKYFAAAAAA==&#10;">
                <v:fill on="t" focussize="0,0"/>
                <v:stroke color="#FFFFFF" joinstyle="miter"/>
                <v:imagedata o:title=""/>
                <o:lock v:ext="edit" aspectratio="f"/>
                <v:textbox>
                  <w:txbxContent>
                    <w:p>
                      <w:pPr>
                        <w:jc w:val="distribute"/>
                        <w:rPr>
                          <w:rFonts w:hint="default" w:ascii="华文中宋" w:hAnsi="华文中宋" w:eastAsia="华文中宋" w:cs="Times New Roman"/>
                          <w:b/>
                          <w:bCs w:val="0"/>
                          <w:color w:val="FF0000"/>
                          <w:w w:val="80"/>
                          <w:sz w:val="72"/>
                          <w:szCs w:val="72"/>
                          <w:lang w:val="en-US" w:eastAsia="zh-CN"/>
                        </w:rPr>
                      </w:pPr>
                      <w:r>
                        <w:rPr>
                          <w:rFonts w:hint="eastAsia" w:ascii="华文中宋" w:hAnsi="华文中宋" w:eastAsia="华文中宋" w:cs="Times New Roman"/>
                          <w:b/>
                          <w:bCs w:val="0"/>
                          <w:color w:val="FF0000"/>
                          <w:sz w:val="72"/>
                          <w:szCs w:val="72"/>
                        </w:rPr>
                        <w:t>河南省</w:t>
                      </w:r>
                      <w:r>
                        <w:rPr>
                          <w:rFonts w:hint="eastAsia" w:ascii="华文中宋" w:hAnsi="华文中宋" w:eastAsia="华文中宋" w:cs="Times New Roman"/>
                          <w:b/>
                          <w:bCs w:val="0"/>
                          <w:color w:val="FF0000"/>
                          <w:sz w:val="72"/>
                          <w:szCs w:val="72"/>
                          <w:lang w:val="en-US" w:eastAsia="zh-CN"/>
                        </w:rPr>
                        <w:t>终身教育学分银行</w:t>
                      </w:r>
                    </w:p>
                  </w:txbxContent>
                </v:textbox>
              </v:rect>
            </w:pict>
          </mc:Fallback>
        </mc:AlternateContent>
      </w:r>
    </w:p>
    <w:p>
      <w:pPr>
        <w:spacing w:line="700" w:lineRule="exact"/>
        <w:jc w:val="center"/>
        <w:rPr>
          <w:rFonts w:hint="eastAsia" w:ascii="方正小标宋简体" w:hAnsi="Times New Roman" w:eastAsia="方正小标宋简体" w:cs="Times New Roman"/>
          <w:sz w:val="40"/>
          <w:szCs w:val="40"/>
          <w:lang w:val="en-US" w:eastAsia="zh-CN"/>
        </w:rPr>
      </w:pPr>
      <w:r>
        <w:rPr>
          <w:rFonts w:ascii="Times New Roman" w:hAnsi="Times New Roman" w:eastAsia="仿宋_GB2312" w:cs="Times New Roman"/>
          <w:sz w:val="30"/>
          <w:szCs w:val="30"/>
        </w:rPr>
        <mc:AlternateContent>
          <mc:Choice Requires="wps">
            <w:drawing>
              <wp:anchor distT="0" distB="0" distL="114300" distR="114300" simplePos="0" relativeHeight="251667456" behindDoc="1" locked="0" layoutInCell="1" allowOverlap="1">
                <wp:simplePos x="0" y="0"/>
                <wp:positionH relativeFrom="column">
                  <wp:posOffset>-33655</wp:posOffset>
                </wp:positionH>
                <wp:positionV relativeFrom="paragraph">
                  <wp:posOffset>330200</wp:posOffset>
                </wp:positionV>
                <wp:extent cx="5668010" cy="1270"/>
                <wp:effectExtent l="0" t="0" r="0" b="0"/>
                <wp:wrapNone/>
                <wp:docPr id="6" name="直接连接符 6"/>
                <wp:cNvGraphicFramePr/>
                <a:graphic xmlns:a="http://schemas.openxmlformats.org/drawingml/2006/main">
                  <a:graphicData uri="http://schemas.microsoft.com/office/word/2010/wordprocessingShape">
                    <wps:wsp>
                      <wps:cNvCnPr/>
                      <wps:spPr>
                        <a:xfrm flipV="1">
                          <a:off x="938530" y="2058670"/>
                          <a:ext cx="5668010" cy="1270"/>
                        </a:xfrm>
                        <a:prstGeom prst="line">
                          <a:avLst/>
                        </a:prstGeom>
                        <a:ln w="15875"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flip:y;margin-left:-2.65pt;margin-top:26pt;height:0.1pt;width:446.3pt;z-index:-251649024;mso-width-relative:page;mso-height-relative:page;" filled="f" stroked="t" coordsize="21600,21600" o:gfxdata="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PYA441gAAAAgBAAAPAAAAAAAAAAEAIAAAACIA&#10;AABkcnMvZG93bnJldi54bWxQSwECFAAUAAAACACHTuJA9iL8sAsCAAD/AwAADgAAAAAAAAABACAA&#10;AAAlAQAAZHJzL2Uyb0RvYy54bWxQSwUGAAAAAAYABgBZAQAAogUAAAAA&#10;">
                <v:fill on="f" focussize="0,0"/>
                <v:stroke weight="1.25pt" color="#FF0000" joinstyle="round"/>
                <v:imagedata o:title=""/>
                <o:lock v:ext="edit" aspectratio="f"/>
              </v:line>
            </w:pict>
          </mc:Fallback>
        </mc:AlternateContent>
      </w:r>
    </w:p>
    <w:p>
      <w:pPr>
        <w:jc w:val="center"/>
        <w:rPr>
          <w:rFonts w:ascii="Times New Roman" w:hAnsi="Times New Roman" w:eastAsia="仿宋_GB2312" w:cs="Times New Roman"/>
          <w:b/>
          <w:sz w:val="36"/>
          <w:szCs w:val="36"/>
        </w:rPr>
      </w:pPr>
      <w:r>
        <w:rPr>
          <w:rFonts w:hint="eastAsia" w:ascii="仿宋_GB2312" w:hAnsi="Times New Roman" w:eastAsia="仿宋_GB2312" w:cs="Times New Roman"/>
          <w:sz w:val="30"/>
          <w:szCs w:val="30"/>
        </w:rPr>
        <w:t>豫</w:t>
      </w:r>
      <w:r>
        <w:rPr>
          <w:rFonts w:hint="eastAsia" w:ascii="仿宋_GB2312" w:hAnsi="Times New Roman" w:eastAsia="仿宋_GB2312" w:cs="Times New Roman"/>
          <w:sz w:val="30"/>
          <w:szCs w:val="30"/>
          <w:lang w:val="en-US" w:eastAsia="zh-CN"/>
        </w:rPr>
        <w:t>学银</w:t>
      </w:r>
      <w:r>
        <w:rPr>
          <w:rFonts w:hint="eastAsia" w:ascii="仿宋_GB2312" w:hAnsi="Times New Roman" w:eastAsia="仿宋_GB2312" w:cs="Times New Roman"/>
          <w:sz w:val="30"/>
          <w:szCs w:val="30"/>
        </w:rPr>
        <w:t>〔202</w:t>
      </w:r>
      <w:r>
        <w:rPr>
          <w:rFonts w:hint="eastAsia" w:ascii="仿宋_GB2312" w:hAnsi="Times New Roman" w:eastAsia="仿宋_GB2312" w:cs="Times New Roman"/>
          <w:sz w:val="30"/>
          <w:szCs w:val="30"/>
          <w:lang w:val="en-US" w:eastAsia="zh-CN"/>
        </w:rPr>
        <w:t>4</w:t>
      </w:r>
      <w:r>
        <w:rPr>
          <w:rFonts w:hint="eastAsia" w:ascii="仿宋_GB2312" w:hAnsi="Times New Roman" w:eastAsia="仿宋_GB2312" w:cs="Times New Roman"/>
          <w:sz w:val="30"/>
          <w:szCs w:val="30"/>
        </w:rPr>
        <w:t>〕</w:t>
      </w:r>
      <w:r>
        <w:rPr>
          <w:rFonts w:hint="eastAsia" w:ascii="仿宋_GB2312" w:hAnsi="Times New Roman" w:eastAsia="仿宋_GB2312" w:cs="Times New Roman"/>
          <w:sz w:val="30"/>
          <w:szCs w:val="30"/>
          <w:lang w:val="en-US" w:eastAsia="zh-CN"/>
        </w:rPr>
        <w:t>4</w:t>
      </w:r>
      <w:r>
        <w:rPr>
          <w:rFonts w:hint="eastAsia" w:ascii="仿宋_GB2312" w:hAnsi="Times New Roman" w:eastAsia="仿宋_GB2312" w:cs="Times New Roman"/>
          <w:sz w:val="30"/>
          <w:szCs w:val="30"/>
        </w:rPr>
        <w:t>号</w:t>
      </w:r>
    </w:p>
    <w:p>
      <w:pPr>
        <w:autoSpaceDE w:val="0"/>
        <w:autoSpaceDN w:val="0"/>
        <w:adjustRightInd w:val="0"/>
        <w:spacing w:line="579" w:lineRule="exact"/>
        <w:jc w:val="center"/>
        <w:rPr>
          <w:rFonts w:hint="eastAsia" w:ascii="仿宋_GB2312" w:hAnsi="宋体" w:eastAsia="宋体" w:cs="Times New Roman"/>
          <w:bCs/>
          <w:sz w:val="21"/>
          <w:szCs w:val="32"/>
        </w:rPr>
      </w:pPr>
    </w:p>
    <w:p>
      <w:pPr>
        <w:spacing w:line="700" w:lineRule="exact"/>
        <w:jc w:val="center"/>
        <w:rPr>
          <w:rFonts w:hint="default" w:ascii="方正小标宋简体" w:hAnsi="Times New Roman" w:eastAsia="方正小标宋简体" w:cs="Times New Roman"/>
          <w:sz w:val="40"/>
          <w:szCs w:val="40"/>
          <w:lang w:val="en-US" w:eastAsia="zh-CN"/>
        </w:rPr>
      </w:pPr>
      <w:r>
        <w:rPr>
          <w:rFonts w:hint="eastAsia" w:ascii="方正小标宋简体" w:hAnsi="Times New Roman" w:eastAsia="方正小标宋简体" w:cs="Times New Roman"/>
          <w:color w:val="000000"/>
          <w:sz w:val="40"/>
          <w:szCs w:val="40"/>
          <w:lang w:val="en-US" w:eastAsia="zh-CN"/>
        </w:rPr>
        <w:t>河南终身教育学分银行关于开放大学</w:t>
      </w:r>
      <w:r>
        <w:rPr>
          <w:rFonts w:hint="eastAsia" w:ascii="方正小标宋简体" w:hAnsi="Times New Roman" w:eastAsia="方正小标宋简体" w:cs="Times New Roman"/>
          <w:sz w:val="40"/>
          <w:szCs w:val="40"/>
          <w:lang w:val="en-US" w:eastAsia="zh-CN"/>
        </w:rPr>
        <w:t>高等学历继续教育学分认定和转换总则（试行）</w:t>
      </w:r>
    </w:p>
    <w:p>
      <w:pPr>
        <w:spacing w:line="700" w:lineRule="exact"/>
        <w:jc w:val="center"/>
        <w:rPr>
          <w:rFonts w:hint="eastAsia" w:ascii="方正小标宋简体" w:hAnsi="Times New Roman" w:eastAsia="方正小标宋简体" w:cs="Times New Roman"/>
          <w:sz w:val="36"/>
          <w:szCs w:val="36"/>
          <w:lang w:val="en-US" w:eastAsia="zh-CN"/>
        </w:rPr>
      </w:pPr>
    </w:p>
    <w:p>
      <w:pPr>
        <w:spacing w:line="560" w:lineRule="exact"/>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为实现</w:t>
      </w:r>
      <w:r>
        <w:rPr>
          <w:rFonts w:hint="eastAsia" w:ascii="仿宋_GB2312" w:hAnsi="Times New Roman" w:eastAsia="仿宋_GB2312" w:cs="Times New Roman"/>
          <w:sz w:val="32"/>
          <w:szCs w:val="24"/>
          <w:lang w:eastAsia="zh-CN"/>
        </w:rPr>
        <w:t>河南开放大学高等学历继续教育相关学习成果的</w:t>
      </w:r>
      <w:r>
        <w:rPr>
          <w:rFonts w:hint="eastAsia" w:ascii="仿宋_GB2312" w:hAnsi="Times New Roman" w:eastAsia="仿宋_GB2312" w:cs="Times New Roman"/>
          <w:sz w:val="32"/>
          <w:szCs w:val="24"/>
        </w:rPr>
        <w:t>学分认定和转换，</w:t>
      </w:r>
      <w:r>
        <w:rPr>
          <w:rFonts w:hint="eastAsia" w:ascii="仿宋_GB2312" w:hAnsi="Times New Roman" w:eastAsia="仿宋_GB2312" w:cs="Times New Roman"/>
          <w:sz w:val="32"/>
          <w:szCs w:val="24"/>
          <w:lang w:eastAsia="zh-CN"/>
        </w:rPr>
        <w:t>使高等学历继续教育学生减少重复学习</w:t>
      </w:r>
      <w:r>
        <w:rPr>
          <w:rFonts w:hint="eastAsia" w:ascii="仿宋_GB2312" w:hAnsi="Times New Roman" w:eastAsia="仿宋_GB2312" w:cs="Times New Roman"/>
          <w:sz w:val="32"/>
          <w:szCs w:val="24"/>
        </w:rPr>
        <w:t>，依据《河南省终身教育学分银行实施方案》</w:t>
      </w:r>
      <w:r>
        <w:rPr>
          <w:rFonts w:hint="eastAsia" w:ascii="仿宋_GB2312" w:hAnsi="Times New Roman" w:eastAsia="仿宋_GB2312" w:cs="Times New Roman"/>
          <w:sz w:val="32"/>
          <w:szCs w:val="24"/>
          <w:lang w:eastAsia="zh-CN"/>
        </w:rPr>
        <w:t>及相关规定</w:t>
      </w:r>
      <w:r>
        <w:rPr>
          <w:rFonts w:hint="eastAsia" w:ascii="仿宋_GB2312" w:hAnsi="Times New Roman" w:eastAsia="仿宋_GB2312" w:cs="Times New Roman"/>
          <w:sz w:val="32"/>
          <w:szCs w:val="24"/>
        </w:rPr>
        <w:t>，</w:t>
      </w:r>
      <w:r>
        <w:rPr>
          <w:rFonts w:hint="eastAsia" w:ascii="仿宋_GB2312" w:hAnsi="Times New Roman" w:eastAsia="仿宋_GB2312" w:cs="Times New Roman"/>
          <w:sz w:val="32"/>
          <w:szCs w:val="24"/>
          <w:lang w:eastAsia="zh-CN"/>
        </w:rPr>
        <w:t>结合河南开放大学高等学历继续教育实际，</w:t>
      </w:r>
      <w:r>
        <w:rPr>
          <w:rFonts w:hint="eastAsia" w:ascii="仿宋_GB2312" w:hAnsi="Times New Roman" w:eastAsia="仿宋_GB2312" w:cs="Times New Roman"/>
          <w:sz w:val="32"/>
          <w:szCs w:val="24"/>
        </w:rPr>
        <w:t>特制定本总则。</w:t>
      </w:r>
    </w:p>
    <w:p>
      <w:pPr>
        <w:spacing w:line="560" w:lineRule="exact"/>
        <w:ind w:firstLine="632" w:firstLineChars="200"/>
        <w:rPr>
          <w:rFonts w:hint="eastAsia" w:ascii="黑体" w:hAnsi="黑体" w:eastAsia="黑体" w:cs="Times New Roman"/>
          <w:sz w:val="32"/>
          <w:szCs w:val="24"/>
        </w:rPr>
      </w:pPr>
      <w:r>
        <w:rPr>
          <w:rFonts w:hint="eastAsia" w:ascii="黑体" w:hAnsi="黑体" w:eastAsia="黑体" w:cs="Times New Roman"/>
          <w:sz w:val="32"/>
          <w:szCs w:val="24"/>
        </w:rPr>
        <w:t>一、学历课程的学分认定和转换</w:t>
      </w:r>
    </w:p>
    <w:p>
      <w:pPr>
        <w:spacing w:line="560" w:lineRule="exact"/>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（一）学生已获得的国民教育系列专科及以上学历层次课程, 与现修读专业人才培养方案课程名称相同或相近，根据教学内容的相关度，可认定和转换为对应课程的部分或全部学分。</w:t>
      </w:r>
    </w:p>
    <w:p>
      <w:pPr>
        <w:spacing w:line="560" w:lineRule="exact"/>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（二）学生被认定和转换的学分，最高不得超过专业人才培养方案毕业总学分的50%。</w:t>
      </w:r>
    </w:p>
    <w:p>
      <w:pPr>
        <w:spacing w:line="560" w:lineRule="exact"/>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（三）认定有效期为从学生获得该学历课程成绩之日起 6年内有效（含第6年）。</w:t>
      </w:r>
    </w:p>
    <w:p>
      <w:pPr>
        <w:spacing w:line="560" w:lineRule="exact"/>
        <w:ind w:firstLine="632" w:firstLineChars="200"/>
        <w:rPr>
          <w:rFonts w:hint="eastAsia" w:ascii="黑体" w:hAnsi="黑体" w:eastAsia="黑体" w:cs="Times New Roman"/>
          <w:sz w:val="32"/>
          <w:szCs w:val="24"/>
        </w:rPr>
      </w:pPr>
      <w:r>
        <w:rPr>
          <w:rFonts w:hint="eastAsia" w:ascii="黑体" w:hAnsi="黑体" w:eastAsia="黑体" w:cs="Times New Roman"/>
          <w:sz w:val="32"/>
          <w:szCs w:val="24"/>
        </w:rPr>
        <w:t>二、慕课的学分认定和转换</w:t>
      </w:r>
    </w:p>
    <w:p>
      <w:pPr>
        <w:spacing w:line="560" w:lineRule="exact"/>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一）学生已获得的在教育部、省教育厅认可的开课平台上（爱课程、中国大学MOOC、智慧树、华文慕课、学堂在线、好大学在线、人卫慕课等）学习的“双万计划”精品在线开放课程，与现修读专业人才培养方案课程名称相同或相近，根据教学内容的相关度，可认定和转换为对应课程的部分或全部学分。</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（二）学生被认定和转换的学分，最高不得超过专业人才培养方案毕业总学分的50%。</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（三）认定有效期为从学生获得该在线课程成绩之日起 6年内有效（含第6年）。</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（四）转换为公共基础课、选修课</w:t>
      </w:r>
      <w:r>
        <w:rPr>
          <w:rFonts w:hint="eastAsia" w:ascii="仿宋_GB2312" w:hAnsi="Times New Roman" w:eastAsia="仿宋_GB2312" w:cs="Times New Roman"/>
          <w:sz w:val="32"/>
          <w:szCs w:val="24"/>
          <w:lang w:eastAsia="zh-CN"/>
        </w:rPr>
        <w:t>、</w:t>
      </w:r>
      <w:r>
        <w:rPr>
          <w:rFonts w:hint="eastAsia" w:ascii="仿宋_GB2312" w:hAnsi="Times New Roman" w:eastAsia="仿宋_GB2312" w:cs="Times New Roman"/>
          <w:sz w:val="32"/>
          <w:szCs w:val="24"/>
        </w:rPr>
        <w:t>专业人才培养方案其它模块课程</w:t>
      </w:r>
      <w:r>
        <w:rPr>
          <w:rFonts w:hint="eastAsia" w:ascii="仿宋_GB2312" w:hAnsi="Times New Roman" w:eastAsia="仿宋_GB2312" w:cs="Times New Roman"/>
          <w:sz w:val="32"/>
          <w:szCs w:val="24"/>
          <w:lang w:eastAsia="zh-CN"/>
        </w:rPr>
        <w:t>的</w:t>
      </w:r>
      <w:r>
        <w:rPr>
          <w:rFonts w:hint="eastAsia" w:ascii="仿宋_GB2312" w:hAnsi="Times New Roman" w:eastAsia="仿宋_GB2312" w:cs="Times New Roman"/>
          <w:sz w:val="32"/>
          <w:szCs w:val="24"/>
        </w:rPr>
        <w:t>，可以免修免考，直接认定学分。</w:t>
      </w:r>
    </w:p>
    <w:p>
      <w:pPr>
        <w:ind w:firstLine="632" w:firstLineChars="200"/>
        <w:rPr>
          <w:rFonts w:hint="eastAsia" w:ascii="黑体" w:hAnsi="黑体" w:eastAsia="黑体" w:cs="Times New Roman"/>
          <w:sz w:val="32"/>
          <w:szCs w:val="24"/>
        </w:rPr>
      </w:pPr>
      <w:r>
        <w:rPr>
          <w:rFonts w:hint="eastAsia" w:ascii="黑体" w:hAnsi="黑体" w:eastAsia="黑体" w:cs="Times New Roman"/>
          <w:sz w:val="32"/>
          <w:szCs w:val="24"/>
        </w:rPr>
        <w:t>三、职业(执业)资格、专业等级证书和职业技能等级（1+X）证书等的学分认定和转换</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（一）学生已获得的国家认可的职业（执业）资格、专业等级证书、1+X证书，根据证书级别和内容相关度，可认定和转换为对应课程的部分或全部学分。</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（二）学生被认定和转换的学分，最高不得超过专业人才培养方案毕业总学分的50%。</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（三）单个证书转换专业核心课程，一般不超过2门（含2门），转换专业核心课程学分一般不超过8学分（含8学分）。</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（四）初级职业（执业）资格证书（如：车工五级证、钳工五级证等），可以转换相应的实习、实训课程。</w:t>
      </w:r>
    </w:p>
    <w:p>
      <w:pPr>
        <w:ind w:firstLine="632" w:firstLineChars="200"/>
        <w:rPr>
          <w:rFonts w:hint="eastAsia" w:ascii="黑体" w:hAnsi="黑体" w:eastAsia="黑体" w:cs="Times New Roman"/>
          <w:sz w:val="32"/>
          <w:szCs w:val="24"/>
        </w:rPr>
      </w:pPr>
      <w:r>
        <w:rPr>
          <w:rFonts w:hint="eastAsia" w:ascii="黑体" w:hAnsi="黑体" w:eastAsia="黑体" w:cs="Times New Roman"/>
          <w:sz w:val="32"/>
          <w:szCs w:val="24"/>
        </w:rPr>
        <w:t>四、培训证书或工作经历成果的学分认定和转换</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一）学生参加各种技能、专业、岗位等培训，并获得社会认可，或列入专业人才培养方案企业颁发的培训证书、工作经历成果（如：专利、课题项目、论文、科研成果、岗位先进能手标兵、现役或退役证书等），根据培训、工作成果级别和内容与课程的相关度，可认定和转换为对应课程的部分或全部学分。</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（二）学生被认定和转换的学分，最高不得超过专业人才培养方案毕业总学分的30%。</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（三）认定有效期为从学生获得该成果之日起6年内有效（含第6年）。</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（四）从事与现修读专业相同或相近岗位工作满一年以上，年度考评为合格及以上，可以转换为相应课程的实践教学和认识实习、跟岗实习、顶岗实习环节学分。</w:t>
      </w:r>
    </w:p>
    <w:p>
      <w:pPr>
        <w:ind w:firstLine="632" w:firstLineChars="200"/>
        <w:rPr>
          <w:rFonts w:hint="eastAsia" w:ascii="黑体" w:hAnsi="黑体" w:eastAsia="黑体" w:cs="Times New Roman"/>
          <w:sz w:val="32"/>
          <w:szCs w:val="24"/>
        </w:rPr>
      </w:pPr>
      <w:r>
        <w:rPr>
          <w:rFonts w:hint="eastAsia" w:ascii="黑体" w:hAnsi="黑体" w:eastAsia="黑体" w:cs="Times New Roman"/>
          <w:sz w:val="32"/>
          <w:szCs w:val="24"/>
        </w:rPr>
        <w:t>五、技能奖项或荣誉称号的学分认定和转换</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（一）学生已获得县、团级及以上和我校组织的相关专业技能竞赛奖项或荣誉称号，根据成果内容、级别和名次，可认定和转换为对应课程的部分或全部学分。</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（二）学生被认定和转换的学分，最高不得超过专业人才培养方案毕业总学分的20%。</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（三）认定有效期为从学生获得该奖项或荣誉称号之日起 6年内有效（含第6年）。</w:t>
      </w:r>
    </w:p>
    <w:p>
      <w:pPr>
        <w:ind w:firstLine="632" w:firstLineChars="200"/>
        <w:rPr>
          <w:rFonts w:hint="eastAsia" w:ascii="黑体" w:hAnsi="黑体" w:eastAsia="黑体" w:cs="Times New Roman"/>
          <w:sz w:val="32"/>
          <w:szCs w:val="24"/>
        </w:rPr>
      </w:pPr>
      <w:r>
        <w:rPr>
          <w:rFonts w:hint="eastAsia" w:ascii="黑体" w:hAnsi="黑体" w:eastAsia="黑体" w:cs="Times New Roman"/>
          <w:sz w:val="32"/>
          <w:szCs w:val="24"/>
        </w:rPr>
        <w:t>六、其他规定</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（一）申请学分认定和转换，一经确认原则上不得撤销或变更。</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（二）学生被认定和转换的学分累计总和，最高不得超过专业人才培养方案毕业总学分的60%。</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（三）相同学习成果不得重复转换，以最高认定的学分进行转换。</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（四）原则上未列入专业人才培养方案的企业工作内容、时间等不能转换学分。</w:t>
      </w:r>
    </w:p>
    <w:p>
      <w:pPr>
        <w:keepNext w:val="0"/>
        <w:keepLines w:val="0"/>
        <w:pageBreakBefore w:val="0"/>
        <w:widowControl w:val="0"/>
        <w:kinsoku/>
        <w:wordWrap w:val="0"/>
        <w:overflowPunct/>
        <w:topLinePunct w:val="0"/>
        <w:autoSpaceDE/>
        <w:autoSpaceDN/>
        <w:bidi w:val="0"/>
        <w:adjustRightInd/>
        <w:snapToGrid/>
        <w:ind w:firstLine="632" w:firstLineChars="200"/>
        <w:jc w:val="left"/>
        <w:textAlignment w:val="auto"/>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（五）</w:t>
      </w:r>
      <w:r>
        <w:rPr>
          <w:rFonts w:hint="eastAsia" w:ascii="仿宋_GB2312" w:hAnsi="Times New Roman" w:eastAsia="仿宋_GB2312" w:cs="Times New Roman"/>
          <w:spacing w:val="-8"/>
          <w:sz w:val="32"/>
          <w:szCs w:val="24"/>
        </w:rPr>
        <w:t>学分认定和转换具体规则参见《</w:t>
      </w:r>
      <w:r>
        <w:rPr>
          <w:rFonts w:hint="eastAsia" w:ascii="仿宋_GB2312" w:hAnsi="Times New Roman" w:eastAsia="仿宋_GB2312" w:cs="Times New Roman"/>
          <w:spacing w:val="-8"/>
          <w:sz w:val="32"/>
          <w:szCs w:val="24"/>
          <w:lang w:eastAsia="zh-CN"/>
        </w:rPr>
        <w:t>河南开放大学高等学历继续教育</w:t>
      </w:r>
      <w:r>
        <w:rPr>
          <w:rFonts w:hint="eastAsia" w:ascii="仿宋_GB2312" w:hAnsi="Times New Roman" w:eastAsia="仿宋_GB2312" w:cs="Times New Roman"/>
          <w:spacing w:val="-8"/>
          <w:sz w:val="32"/>
          <w:szCs w:val="24"/>
        </w:rPr>
        <w:t>学分认定和转换细则》</w:t>
      </w:r>
      <w:r>
        <w:rPr>
          <w:rFonts w:hint="eastAsia" w:ascii="仿宋_GB2312" w:hAnsi="Times New Roman" w:eastAsia="仿宋_GB2312" w:cs="Times New Roman"/>
          <w:sz w:val="32"/>
          <w:szCs w:val="24"/>
          <w:lang w:eastAsia="zh-CN"/>
        </w:rPr>
        <w:t>（http://xfyh.open.ha.cn/hn_cbank_cms/zhbz/index.jhtml）</w:t>
      </w:r>
      <w:r>
        <w:rPr>
          <w:rFonts w:hint="eastAsia" w:ascii="仿宋_GB2312" w:hAnsi="Times New Roman" w:eastAsia="仿宋_GB2312" w:cs="Times New Roman"/>
          <w:sz w:val="32"/>
          <w:szCs w:val="24"/>
        </w:rPr>
        <w:t>。</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（六）转换课程的成绩记为“合格”（60分）。</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（七）本总则由学分银行管理中心负责解释。</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（八）本总则自公布之日起施行。</w:t>
      </w:r>
    </w:p>
    <w:p>
      <w:pPr>
        <w:ind w:firstLine="632" w:firstLineChars="200"/>
        <w:rPr>
          <w:rFonts w:hint="eastAsia" w:ascii="仿宋_GB2312" w:hAnsi="Times New Roman" w:eastAsia="仿宋_GB2312" w:cs="Times New Roman"/>
          <w:sz w:val="32"/>
          <w:szCs w:val="24"/>
        </w:rPr>
      </w:pPr>
      <w:r>
        <w:rPr>
          <w:rFonts w:hint="eastAsia" w:ascii="仿宋_GB2312" w:hAnsi="Times New Roman" w:eastAsia="仿宋_GB2312" w:cs="Times New Roman"/>
          <w:sz w:val="32"/>
          <w:szCs w:val="24"/>
        </w:rPr>
        <w:t xml:space="preserve">      </w:t>
      </w:r>
    </w:p>
    <w:p>
      <w:pPr>
        <w:rPr>
          <w:rFonts w:ascii="黑体" w:hAnsi="黑体" w:eastAsia="黑体" w:cs="Times New Roman"/>
          <w:sz w:val="21"/>
          <w:szCs w:val="22"/>
        </w:rPr>
      </w:pPr>
    </w:p>
    <w:p>
      <w:pPr>
        <w:rPr>
          <w:rFonts w:ascii="黑体" w:hAnsi="黑体" w:eastAsia="黑体" w:cs="Times New Roman"/>
          <w:sz w:val="21"/>
          <w:szCs w:val="22"/>
        </w:rPr>
      </w:pPr>
    </w:p>
    <w:p>
      <w:pPr>
        <w:rPr>
          <w:rFonts w:ascii="黑体" w:hAnsi="黑体" w:eastAsia="黑体" w:cs="Times New Roman"/>
          <w:sz w:val="21"/>
          <w:szCs w:val="22"/>
        </w:rPr>
      </w:pPr>
    </w:p>
    <w:p>
      <w:pPr>
        <w:rPr>
          <w:rFonts w:ascii="黑体" w:hAnsi="黑体" w:eastAsia="黑体" w:cs="Times New Roman"/>
          <w:sz w:val="21"/>
          <w:szCs w:val="22"/>
        </w:rPr>
      </w:pPr>
    </w:p>
    <w:p>
      <w:pPr>
        <w:keepNext w:val="0"/>
        <w:keepLines w:val="0"/>
        <w:pageBreakBefore w:val="0"/>
        <w:widowControl w:val="0"/>
        <w:kinsoku/>
        <w:wordWrap/>
        <w:overflowPunct/>
        <w:topLinePunct w:val="0"/>
        <w:autoSpaceDE w:val="0"/>
        <w:autoSpaceDN w:val="0"/>
        <w:bidi w:val="0"/>
        <w:adjustRightInd w:val="0"/>
        <w:snapToGrid w:val="0"/>
        <w:spacing w:line="700" w:lineRule="exact"/>
        <w:ind w:right="824" w:rightChars="400"/>
        <w:jc w:val="both"/>
        <w:textAlignment w:val="auto"/>
        <w:rPr>
          <w:rFonts w:hint="eastAsia" w:ascii="黑体" w:hAnsi="黑体" w:eastAsia="黑体" w:cs="黑体"/>
          <w:snapToGrid w:val="0"/>
          <w:spacing w:val="20"/>
          <w:kern w:val="0"/>
          <w:sz w:val="32"/>
          <w:szCs w:val="32"/>
          <w:lang w:val="en-US" w:eastAsia="zh-CN"/>
        </w:rPr>
      </w:pPr>
      <w:r>
        <w:rPr>
          <w:rFonts w:hint="eastAsia" w:ascii="黑体" w:hAnsi="黑体" w:eastAsia="黑体" w:cs="黑体"/>
          <w:snapToGrid w:val="0"/>
          <w:spacing w:val="20"/>
          <w:kern w:val="0"/>
          <w:sz w:val="32"/>
          <w:szCs w:val="32"/>
          <w:lang w:val="en-US" w:eastAsia="zh-CN"/>
        </w:rPr>
        <w:t>附件3</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河南开放大学高等学历继续教育学生以工作代实习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学分转换申请表</w:t>
      </w:r>
    </w:p>
    <w:tbl>
      <w:tblPr>
        <w:tblStyle w:val="10"/>
        <w:tblpPr w:leftFromText="180" w:rightFromText="180" w:vertAnchor="text" w:tblpXSpec="center" w:tblpY="1"/>
        <w:tblOverlap w:val="never"/>
        <w:tblW w:w="102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93"/>
        <w:gridCol w:w="2164"/>
        <w:gridCol w:w="1379"/>
        <w:gridCol w:w="1818"/>
        <w:gridCol w:w="1348"/>
        <w:gridCol w:w="17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zh-CN" w:eastAsia="zh-CN" w:bidi="zh-CN"/>
              </w:rPr>
            </w:pPr>
            <w:r>
              <w:rPr>
                <w:rFonts w:hint="eastAsia" w:ascii="仿宋_GB2312" w:hAnsi="仿宋_GB2312" w:eastAsia="仿宋_GB2312" w:cs="仿宋_GB2312"/>
                <w:kern w:val="2"/>
                <w:sz w:val="22"/>
                <w:szCs w:val="22"/>
                <w:lang w:val="zh-CN" w:eastAsia="zh-CN" w:bidi="zh-CN"/>
              </w:rPr>
              <w:t>姓 名</w:t>
            </w:r>
          </w:p>
        </w:tc>
        <w:tc>
          <w:tcPr>
            <w:tcW w:w="21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zh-CN" w:eastAsia="zh-CN" w:bidi="zh-CN"/>
              </w:rPr>
            </w:pPr>
          </w:p>
        </w:tc>
        <w:tc>
          <w:tcPr>
            <w:tcW w:w="13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zh-CN" w:eastAsia="zh-CN" w:bidi="zh-CN"/>
              </w:rPr>
            </w:pPr>
            <w:r>
              <w:rPr>
                <w:rFonts w:hint="eastAsia" w:ascii="仿宋_GB2312" w:hAnsi="仿宋_GB2312" w:eastAsia="仿宋_GB2312" w:cs="仿宋_GB2312"/>
                <w:kern w:val="2"/>
                <w:sz w:val="22"/>
                <w:szCs w:val="22"/>
                <w:lang w:val="zh-CN" w:eastAsia="zh-CN" w:bidi="zh-CN"/>
              </w:rPr>
              <w:t>学 号</w:t>
            </w:r>
          </w:p>
        </w:tc>
        <w:tc>
          <w:tcPr>
            <w:tcW w:w="18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zh-CN" w:eastAsia="zh-CN" w:bidi="zh-CN"/>
              </w:rPr>
            </w:pPr>
          </w:p>
        </w:tc>
        <w:tc>
          <w:tcPr>
            <w:tcW w:w="13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zh-CN" w:eastAsia="zh-CN" w:bidi="zh-CN"/>
              </w:rPr>
            </w:pPr>
            <w:r>
              <w:rPr>
                <w:rFonts w:hint="eastAsia" w:ascii="仿宋_GB2312" w:hAnsi="仿宋_GB2312" w:eastAsia="仿宋_GB2312" w:cs="仿宋_GB2312"/>
                <w:kern w:val="2"/>
                <w:sz w:val="22"/>
                <w:szCs w:val="22"/>
                <w:lang w:val="zh-CN" w:eastAsia="zh-CN" w:bidi="zh-CN"/>
              </w:rPr>
              <w:t>联系方式</w:t>
            </w:r>
          </w:p>
        </w:tc>
        <w:tc>
          <w:tcPr>
            <w:tcW w:w="17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eastAsia" w:ascii="仿宋_GB2312" w:hAnsi="仿宋_GB2312" w:eastAsia="仿宋_GB2312" w:cs="仿宋_GB2312"/>
                <w:kern w:val="2"/>
                <w:sz w:val="22"/>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noWrap w:val="0"/>
            <w:vAlign w:val="center"/>
          </w:tcPr>
          <w:p>
            <w:pPr>
              <w:keepNext w:val="0"/>
              <w:keepLines w:val="0"/>
              <w:pageBreakBefore w:val="0"/>
              <w:widowControl w:val="0"/>
              <w:tabs>
                <w:tab w:val="left" w:pos="1079"/>
              </w:tabs>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en-US" w:eastAsia="zh-CN" w:bidi="zh-CN"/>
              </w:rPr>
            </w:pPr>
            <w:r>
              <w:rPr>
                <w:rFonts w:hint="eastAsia" w:ascii="仿宋_GB2312" w:hAnsi="仿宋_GB2312" w:eastAsia="仿宋_GB2312" w:cs="仿宋_GB2312"/>
                <w:kern w:val="2"/>
                <w:sz w:val="22"/>
                <w:szCs w:val="22"/>
                <w:lang w:val="en-US" w:eastAsia="zh-CN" w:bidi="zh-CN"/>
              </w:rPr>
              <w:t>身份证号</w:t>
            </w:r>
          </w:p>
        </w:tc>
        <w:tc>
          <w:tcPr>
            <w:tcW w:w="536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zh-CN" w:eastAsia="zh-CN" w:bidi="zh-CN"/>
              </w:rPr>
            </w:pPr>
          </w:p>
        </w:tc>
        <w:tc>
          <w:tcPr>
            <w:tcW w:w="1348" w:type="dxa"/>
            <w:noWrap w:val="0"/>
            <w:vAlign w:val="center"/>
          </w:tcPr>
          <w:p>
            <w:pPr>
              <w:keepNext w:val="0"/>
              <w:keepLines w:val="0"/>
              <w:pageBreakBefore w:val="0"/>
              <w:widowControl w:val="0"/>
              <w:tabs>
                <w:tab w:val="left" w:pos="1228"/>
              </w:tabs>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en-US" w:eastAsia="zh-CN" w:bidi="zh-CN"/>
              </w:rPr>
            </w:pPr>
            <w:r>
              <w:rPr>
                <w:rFonts w:hint="eastAsia" w:ascii="仿宋_GB2312" w:hAnsi="仿宋_GB2312" w:eastAsia="仿宋_GB2312" w:cs="仿宋_GB2312"/>
                <w:kern w:val="2"/>
                <w:sz w:val="22"/>
                <w:szCs w:val="22"/>
                <w:lang w:val="en-US" w:eastAsia="zh-CN" w:bidi="zh-CN"/>
              </w:rPr>
              <w:t>出生年月</w:t>
            </w:r>
          </w:p>
        </w:tc>
        <w:tc>
          <w:tcPr>
            <w:tcW w:w="17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eastAsia" w:ascii="仿宋_GB2312" w:hAnsi="仿宋_GB2312" w:eastAsia="仿宋_GB2312" w:cs="仿宋_GB2312"/>
                <w:kern w:val="2"/>
                <w:sz w:val="22"/>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noWrap w:val="0"/>
            <w:vAlign w:val="center"/>
          </w:tcPr>
          <w:p>
            <w:pPr>
              <w:keepNext w:val="0"/>
              <w:keepLines w:val="0"/>
              <w:pageBreakBefore w:val="0"/>
              <w:widowControl w:val="0"/>
              <w:tabs>
                <w:tab w:val="left" w:pos="1228"/>
              </w:tabs>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zh-CN" w:eastAsia="zh-CN" w:bidi="zh-CN"/>
              </w:rPr>
            </w:pPr>
            <w:r>
              <w:rPr>
                <w:rFonts w:hint="eastAsia" w:ascii="仿宋_GB2312" w:hAnsi="仿宋_GB2312" w:eastAsia="仿宋_GB2312" w:cs="仿宋_GB2312"/>
                <w:kern w:val="2"/>
                <w:sz w:val="22"/>
                <w:szCs w:val="22"/>
                <w:lang w:val="en-US" w:eastAsia="zh-CN" w:bidi="zh-CN"/>
              </w:rPr>
              <w:t xml:space="preserve">专    </w:t>
            </w:r>
            <w:r>
              <w:rPr>
                <w:rFonts w:hint="eastAsia" w:ascii="仿宋_GB2312" w:hAnsi="仿宋_GB2312" w:eastAsia="仿宋_GB2312" w:cs="仿宋_GB2312"/>
                <w:kern w:val="2"/>
                <w:sz w:val="22"/>
                <w:szCs w:val="22"/>
                <w:lang w:val="zh-CN" w:eastAsia="zh-CN" w:bidi="zh-CN"/>
              </w:rPr>
              <w:t>业</w:t>
            </w:r>
          </w:p>
        </w:tc>
        <w:tc>
          <w:tcPr>
            <w:tcW w:w="536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zh-CN" w:eastAsia="zh-CN" w:bidi="zh-CN"/>
              </w:rPr>
            </w:pPr>
          </w:p>
        </w:tc>
        <w:tc>
          <w:tcPr>
            <w:tcW w:w="1348" w:type="dxa"/>
            <w:noWrap w:val="0"/>
            <w:vAlign w:val="center"/>
          </w:tcPr>
          <w:p>
            <w:pPr>
              <w:keepNext w:val="0"/>
              <w:keepLines w:val="0"/>
              <w:pageBreakBefore w:val="0"/>
              <w:widowControl w:val="0"/>
              <w:tabs>
                <w:tab w:val="left" w:pos="1079"/>
              </w:tabs>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en-US" w:eastAsia="zh-CN" w:bidi="zh-CN"/>
              </w:rPr>
            </w:pPr>
            <w:r>
              <w:rPr>
                <w:rFonts w:hint="eastAsia" w:ascii="仿宋_GB2312" w:hAnsi="仿宋_GB2312" w:eastAsia="仿宋_GB2312" w:cs="仿宋_GB2312"/>
                <w:kern w:val="2"/>
                <w:sz w:val="22"/>
                <w:szCs w:val="22"/>
                <w:lang w:val="en-US" w:eastAsia="zh-CN" w:bidi="zh-CN"/>
              </w:rPr>
              <w:t>所在校区</w:t>
            </w:r>
          </w:p>
        </w:tc>
        <w:tc>
          <w:tcPr>
            <w:tcW w:w="17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eastAsia" w:ascii="仿宋_GB2312" w:hAnsi="仿宋_GB2312" w:eastAsia="仿宋_GB2312" w:cs="仿宋_GB2312"/>
                <w:kern w:val="2"/>
                <w:sz w:val="22"/>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en-US" w:eastAsia="zh-CN" w:bidi="zh-CN"/>
              </w:rPr>
            </w:pPr>
            <w:r>
              <w:rPr>
                <w:rFonts w:hint="eastAsia" w:ascii="仿宋_GB2312" w:hAnsi="仿宋_GB2312" w:eastAsia="仿宋_GB2312" w:cs="仿宋_GB2312"/>
                <w:kern w:val="2"/>
                <w:sz w:val="22"/>
                <w:szCs w:val="22"/>
                <w:lang w:val="en-US" w:eastAsia="zh-CN" w:bidi="zh-CN"/>
              </w:rPr>
              <w:t>工作单位名称</w:t>
            </w:r>
          </w:p>
        </w:tc>
        <w:tc>
          <w:tcPr>
            <w:tcW w:w="8477"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en-US"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en-US" w:eastAsia="zh-CN" w:bidi="zh-CN"/>
              </w:rPr>
            </w:pPr>
            <w:r>
              <w:rPr>
                <w:rFonts w:hint="eastAsia" w:ascii="仿宋_GB2312" w:hAnsi="仿宋_GB2312" w:eastAsia="仿宋_GB2312" w:cs="仿宋_GB2312"/>
                <w:kern w:val="2"/>
                <w:sz w:val="22"/>
                <w:szCs w:val="22"/>
                <w:lang w:val="en-US" w:eastAsia="zh-CN" w:bidi="zh-CN"/>
              </w:rPr>
              <w:t>工作起止时间</w:t>
            </w:r>
          </w:p>
        </w:tc>
        <w:tc>
          <w:tcPr>
            <w:tcW w:w="8477"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u w:val="none"/>
                <w:lang w:val="en-US" w:eastAsia="zh-CN" w:bidi="zh-CN"/>
              </w:rPr>
            </w:pPr>
            <w:r>
              <w:rPr>
                <w:rFonts w:hint="eastAsia" w:ascii="仿宋_GB2312" w:hAnsi="仿宋_GB2312" w:eastAsia="仿宋_GB2312" w:cs="仿宋_GB2312"/>
                <w:kern w:val="2"/>
                <w:sz w:val="22"/>
                <w:szCs w:val="22"/>
                <w:u w:val="single"/>
                <w:lang w:val="en-US" w:eastAsia="zh-CN" w:bidi="zh-CN"/>
              </w:rPr>
              <w:t xml:space="preserve">        </w:t>
            </w:r>
            <w:r>
              <w:rPr>
                <w:rFonts w:hint="eastAsia" w:ascii="仿宋_GB2312" w:hAnsi="仿宋_GB2312" w:eastAsia="仿宋_GB2312" w:cs="仿宋_GB2312"/>
                <w:kern w:val="2"/>
                <w:sz w:val="22"/>
                <w:szCs w:val="22"/>
                <w:u w:val="none"/>
                <w:lang w:val="en-US" w:eastAsia="zh-CN" w:bidi="zh-CN"/>
              </w:rPr>
              <w:t>年</w:t>
            </w:r>
            <w:r>
              <w:rPr>
                <w:rFonts w:hint="eastAsia" w:ascii="仿宋_GB2312" w:hAnsi="仿宋_GB2312" w:eastAsia="仿宋_GB2312" w:cs="仿宋_GB2312"/>
                <w:kern w:val="2"/>
                <w:sz w:val="22"/>
                <w:szCs w:val="22"/>
                <w:u w:val="single"/>
                <w:lang w:val="en-US" w:eastAsia="zh-CN" w:bidi="zh-CN"/>
              </w:rPr>
              <w:t xml:space="preserve">    </w:t>
            </w:r>
            <w:r>
              <w:rPr>
                <w:rFonts w:hint="eastAsia" w:ascii="仿宋_GB2312" w:hAnsi="仿宋_GB2312" w:eastAsia="仿宋_GB2312" w:cs="仿宋_GB2312"/>
                <w:kern w:val="2"/>
                <w:sz w:val="22"/>
                <w:szCs w:val="22"/>
                <w:u w:val="none"/>
                <w:lang w:val="en-US" w:eastAsia="zh-CN" w:bidi="zh-CN"/>
              </w:rPr>
              <w:t>月</w:t>
            </w:r>
            <w:r>
              <w:rPr>
                <w:rFonts w:hint="eastAsia" w:ascii="仿宋_GB2312" w:hAnsi="仿宋_GB2312" w:eastAsia="仿宋_GB2312" w:cs="仿宋_GB2312"/>
                <w:kern w:val="2"/>
                <w:sz w:val="22"/>
                <w:szCs w:val="22"/>
                <w:u w:val="single"/>
                <w:lang w:val="en-US" w:eastAsia="zh-CN" w:bidi="zh-CN"/>
              </w:rPr>
              <w:t xml:space="preserve">     </w:t>
            </w:r>
            <w:r>
              <w:rPr>
                <w:rFonts w:hint="eastAsia" w:ascii="仿宋_GB2312" w:hAnsi="仿宋_GB2312" w:eastAsia="仿宋_GB2312" w:cs="仿宋_GB2312"/>
                <w:kern w:val="2"/>
                <w:sz w:val="22"/>
                <w:szCs w:val="22"/>
                <w:u w:val="none"/>
                <w:lang w:val="en-US" w:eastAsia="zh-CN" w:bidi="zh-CN"/>
              </w:rPr>
              <w:t>日——</w:t>
            </w:r>
            <w:r>
              <w:rPr>
                <w:rFonts w:hint="eastAsia" w:ascii="仿宋_GB2312" w:hAnsi="仿宋_GB2312" w:eastAsia="仿宋_GB2312" w:cs="仿宋_GB2312"/>
                <w:kern w:val="2"/>
                <w:sz w:val="22"/>
                <w:szCs w:val="22"/>
                <w:u w:val="single"/>
                <w:lang w:val="en-US" w:eastAsia="zh-CN" w:bidi="zh-CN"/>
              </w:rPr>
              <w:t xml:space="preserve">        </w:t>
            </w:r>
            <w:r>
              <w:rPr>
                <w:rFonts w:hint="eastAsia" w:ascii="仿宋_GB2312" w:hAnsi="仿宋_GB2312" w:eastAsia="仿宋_GB2312" w:cs="仿宋_GB2312"/>
                <w:kern w:val="2"/>
                <w:sz w:val="22"/>
                <w:szCs w:val="22"/>
                <w:u w:val="none"/>
                <w:lang w:val="en-US" w:eastAsia="zh-CN" w:bidi="zh-CN"/>
              </w:rPr>
              <w:t>年</w:t>
            </w:r>
            <w:r>
              <w:rPr>
                <w:rFonts w:hint="eastAsia" w:ascii="仿宋_GB2312" w:hAnsi="仿宋_GB2312" w:eastAsia="仿宋_GB2312" w:cs="仿宋_GB2312"/>
                <w:kern w:val="2"/>
                <w:sz w:val="22"/>
                <w:szCs w:val="22"/>
                <w:u w:val="single"/>
                <w:lang w:val="en-US" w:eastAsia="zh-CN" w:bidi="zh-CN"/>
              </w:rPr>
              <w:t xml:space="preserve">    </w:t>
            </w:r>
            <w:r>
              <w:rPr>
                <w:rFonts w:hint="eastAsia" w:ascii="仿宋_GB2312" w:hAnsi="仿宋_GB2312" w:eastAsia="仿宋_GB2312" w:cs="仿宋_GB2312"/>
                <w:kern w:val="2"/>
                <w:sz w:val="22"/>
                <w:szCs w:val="22"/>
                <w:u w:val="none"/>
                <w:lang w:val="en-US" w:eastAsia="zh-CN" w:bidi="zh-CN"/>
              </w:rPr>
              <w:t>月</w:t>
            </w:r>
            <w:r>
              <w:rPr>
                <w:rFonts w:hint="eastAsia" w:ascii="仿宋_GB2312" w:hAnsi="仿宋_GB2312" w:eastAsia="仿宋_GB2312" w:cs="仿宋_GB2312"/>
                <w:kern w:val="2"/>
                <w:sz w:val="22"/>
                <w:szCs w:val="22"/>
                <w:u w:val="single"/>
                <w:lang w:val="en-US" w:eastAsia="zh-CN" w:bidi="zh-CN"/>
              </w:rPr>
              <w:t xml:space="preserve">     </w:t>
            </w:r>
            <w:r>
              <w:rPr>
                <w:rFonts w:hint="eastAsia" w:ascii="仿宋_GB2312" w:hAnsi="仿宋_GB2312" w:eastAsia="仿宋_GB2312" w:cs="仿宋_GB2312"/>
                <w:kern w:val="2"/>
                <w:sz w:val="22"/>
                <w:szCs w:val="22"/>
                <w:u w:val="none"/>
                <w:lang w:val="en-US" w:eastAsia="zh-CN" w:bidi="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jc w:val="center"/>
        </w:trPr>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en-US" w:eastAsia="zh-CN" w:bidi="zh-CN"/>
              </w:rPr>
            </w:pPr>
            <w:r>
              <w:rPr>
                <w:rFonts w:hint="eastAsia" w:ascii="仿宋_GB2312" w:hAnsi="仿宋_GB2312" w:eastAsia="仿宋_GB2312" w:cs="仿宋_GB2312"/>
                <w:kern w:val="2"/>
                <w:sz w:val="22"/>
                <w:szCs w:val="22"/>
                <w:lang w:val="en-US" w:eastAsia="zh-CN" w:bidi="zh-CN"/>
              </w:rPr>
              <w:t>工作单位社会信用代码</w:t>
            </w:r>
          </w:p>
        </w:tc>
        <w:tc>
          <w:tcPr>
            <w:tcW w:w="5361" w:type="dxa"/>
            <w:gridSpan w:val="3"/>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en-US" w:eastAsia="zh-CN" w:bidi="zh-CN"/>
              </w:rPr>
            </w:pPr>
          </w:p>
        </w:tc>
        <w:tc>
          <w:tcPr>
            <w:tcW w:w="1348"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en-US" w:eastAsia="zh-CN" w:bidi="zh-CN"/>
              </w:rPr>
            </w:pPr>
            <w:r>
              <w:rPr>
                <w:rFonts w:hint="eastAsia" w:ascii="仿宋_GB2312" w:hAnsi="仿宋_GB2312" w:eastAsia="仿宋_GB2312" w:cs="仿宋_GB2312"/>
                <w:kern w:val="2"/>
                <w:sz w:val="22"/>
                <w:szCs w:val="22"/>
                <w:lang w:val="en-US" w:eastAsia="zh-CN" w:bidi="zh-CN"/>
              </w:rPr>
              <w:t>法 人</w:t>
            </w:r>
          </w:p>
        </w:tc>
        <w:tc>
          <w:tcPr>
            <w:tcW w:w="1768"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en-US"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en-US" w:eastAsia="zh-CN" w:bidi="zh-CN"/>
              </w:rPr>
            </w:pPr>
            <w:r>
              <w:rPr>
                <w:rFonts w:hint="eastAsia" w:ascii="仿宋_GB2312" w:hAnsi="仿宋_GB2312" w:eastAsia="仿宋_GB2312" w:cs="仿宋_GB2312"/>
                <w:kern w:val="2"/>
                <w:sz w:val="22"/>
                <w:szCs w:val="22"/>
                <w:lang w:val="en-US" w:eastAsia="zh-CN" w:bidi="zh-CN"/>
              </w:rPr>
              <w:t>申请转换课程</w:t>
            </w:r>
          </w:p>
        </w:tc>
        <w:tc>
          <w:tcPr>
            <w:tcW w:w="8477"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kern w:val="2"/>
                <w:sz w:val="22"/>
                <w:szCs w:val="22"/>
                <w:lang w:val="en-US" w:eastAsia="zh-CN" w:bidi="zh-CN"/>
              </w:rPr>
            </w:pPr>
            <w:r>
              <w:rPr>
                <w:rFonts w:hint="eastAsia" w:ascii="仿宋_GB2312" w:hAnsi="仿宋_GB2312" w:eastAsia="仿宋_GB2312" w:cs="仿宋_GB2312"/>
                <w:kern w:val="2"/>
                <w:sz w:val="22"/>
                <w:szCs w:val="22"/>
                <w:lang w:val="en-US" w:eastAsia="zh-CN" w:bidi="zh-CN"/>
              </w:rPr>
              <w:t xml:space="preserve"> </w:t>
            </w:r>
            <w:r>
              <w:rPr>
                <w:rFonts w:hint="eastAsia" w:ascii="仿宋_GB2312" w:hAnsi="仿宋_GB2312" w:eastAsia="仿宋_GB2312" w:cs="仿宋_GB2312"/>
                <w:sz w:val="22"/>
                <w:szCs w:val="22"/>
                <w:lang w:val="en-US" w:eastAsia="zh-CN"/>
              </w:rPr>
              <w:sym w:font="Wingdings" w:char="00A8"/>
            </w:r>
            <w:r>
              <w:rPr>
                <w:rFonts w:hint="eastAsia" w:ascii="仿宋_GB2312" w:hAnsi="仿宋_GB2312" w:eastAsia="仿宋_GB2312" w:cs="仿宋_GB2312"/>
                <w:kern w:val="2"/>
                <w:sz w:val="22"/>
                <w:szCs w:val="22"/>
                <w:lang w:val="en-US" w:eastAsia="zh-CN" w:bidi="zh-CN"/>
              </w:rPr>
              <w:t xml:space="preserve">认识实习      </w:t>
            </w:r>
            <w:r>
              <w:rPr>
                <w:rFonts w:hint="eastAsia" w:ascii="仿宋_GB2312" w:hAnsi="仿宋_GB2312" w:eastAsia="仿宋_GB2312" w:cs="仿宋_GB2312"/>
                <w:sz w:val="22"/>
                <w:szCs w:val="22"/>
                <w:lang w:val="en-US" w:eastAsia="zh-CN"/>
              </w:rPr>
              <w:sym w:font="Wingdings" w:char="00A8"/>
            </w:r>
            <w:r>
              <w:rPr>
                <w:rFonts w:hint="eastAsia" w:ascii="仿宋_GB2312" w:hAnsi="仿宋_GB2312" w:eastAsia="仿宋_GB2312" w:cs="仿宋_GB2312"/>
                <w:kern w:val="2"/>
                <w:sz w:val="22"/>
                <w:szCs w:val="22"/>
                <w:lang w:val="en-US" w:eastAsia="zh-CN" w:bidi="zh-CN"/>
              </w:rPr>
              <w:t xml:space="preserve">毕业实习 </w:t>
            </w:r>
            <w:r>
              <w:rPr>
                <w:rFonts w:hint="eastAsia" w:ascii="仿宋_GB2312" w:hAnsi="仿宋_GB2312" w:eastAsia="仿宋_GB2312" w:cs="仿宋_GB2312"/>
                <w:kern w:val="2"/>
                <w:sz w:val="21"/>
                <w:szCs w:val="21"/>
                <w:lang w:val="en-US" w:eastAsia="zh-CN" w:bidi="zh-CN"/>
              </w:rPr>
              <w:t>（请在转换课程序号上打“√”）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2" w:hRule="atLeast"/>
          <w:jc w:val="center"/>
        </w:trPr>
        <w:tc>
          <w:tcPr>
            <w:tcW w:w="179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工</w:t>
            </w: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作</w:t>
            </w: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内</w:t>
            </w: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容</w:t>
            </w:r>
          </w:p>
        </w:tc>
        <w:tc>
          <w:tcPr>
            <w:tcW w:w="8477" w:type="dxa"/>
            <w:gridSpan w:val="5"/>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岗位：</w:t>
            </w:r>
          </w:p>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仿宋_GB2312" w:hAnsi="仿宋_GB2312" w:eastAsia="仿宋_GB2312" w:cs="仿宋_GB2312"/>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工作内容：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8" w:hRule="atLeast"/>
          <w:jc w:val="center"/>
        </w:trPr>
        <w:tc>
          <w:tcPr>
            <w:tcW w:w="1793"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单</w:t>
            </w: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位</w:t>
            </w: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意</w:t>
            </w: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见</w:t>
            </w:r>
          </w:p>
        </w:tc>
        <w:tc>
          <w:tcPr>
            <w:tcW w:w="8477" w:type="dxa"/>
            <w:gridSpan w:val="5"/>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该同志工作岗位和工作内容是否属实。</w:t>
            </w:r>
          </w:p>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仿宋_GB2312" w:hAnsi="仿宋_GB2312" w:eastAsia="仿宋_GB2312" w:cs="仿宋_GB2312"/>
                <w:sz w:val="32"/>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firstLine="864" w:firstLineChars="40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单位名称：</w:t>
            </w:r>
          </w:p>
          <w:p>
            <w:pPr>
              <w:keepNext w:val="0"/>
              <w:keepLines w:val="0"/>
              <w:pageBreakBefore w:val="0"/>
              <w:widowControl w:val="0"/>
              <w:kinsoku/>
              <w:wordWrap/>
              <w:overflowPunct/>
              <w:topLinePunct w:val="0"/>
              <w:autoSpaceDE/>
              <w:autoSpaceDN/>
              <w:bidi w:val="0"/>
              <w:adjustRightInd/>
              <w:snapToGrid/>
              <w:spacing w:line="240" w:lineRule="auto"/>
              <w:ind w:right="0" w:firstLine="4320" w:firstLineChars="2000"/>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（加盖公章）</w:t>
            </w:r>
          </w:p>
          <w:p>
            <w:pPr>
              <w:keepNext w:val="0"/>
              <w:keepLines w:val="0"/>
              <w:pageBreakBefore w:val="0"/>
              <w:widowControl w:val="0"/>
              <w:kinsoku/>
              <w:wordWrap/>
              <w:overflowPunct/>
              <w:topLinePunct w:val="0"/>
              <w:autoSpaceDE/>
              <w:autoSpaceDN/>
              <w:bidi w:val="0"/>
              <w:adjustRightInd/>
              <w:snapToGrid/>
              <w:spacing w:line="240" w:lineRule="auto"/>
              <w:ind w:right="0"/>
              <w:jc w:val="right"/>
              <w:textAlignment w:val="auto"/>
              <w:rPr>
                <w:rFonts w:hint="eastAsia" w:ascii="仿宋_GB2312" w:hAnsi="仿宋_GB2312" w:eastAsia="仿宋_GB2312" w:cs="仿宋_GB2312"/>
                <w:sz w:val="22"/>
                <w:szCs w:val="22"/>
                <w:lang w:val="en-US"/>
              </w:rPr>
            </w:pPr>
            <w:r>
              <w:rPr>
                <w:rFonts w:hint="eastAsia" w:ascii="仿宋_GB2312" w:hAnsi="仿宋_GB2312" w:eastAsia="仿宋_GB2312" w:cs="仿宋_GB2312"/>
                <w:sz w:val="22"/>
                <w:szCs w:val="22"/>
                <w:lang w:val="en-US" w:eastAsia="zh-CN"/>
              </w:rPr>
              <w:t>日期：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校</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区</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审</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核</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意</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见</w:t>
            </w:r>
          </w:p>
        </w:tc>
        <w:tc>
          <w:tcPr>
            <w:tcW w:w="8477" w:type="dxa"/>
            <w:gridSpan w:val="5"/>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该生工作经历是否符合以工作代实习学分转换要求。</w:t>
            </w: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校区负责人签字：</w:t>
            </w: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（加盖公章）</w:t>
            </w:r>
          </w:p>
          <w:p>
            <w:pPr>
              <w:keepNext w:val="0"/>
              <w:keepLines w:val="0"/>
              <w:pageBreakBefore w:val="0"/>
              <w:widowControl w:val="0"/>
              <w:kinsoku/>
              <w:wordWrap/>
              <w:overflowPunct/>
              <w:topLinePunct w:val="0"/>
              <w:autoSpaceDE/>
              <w:autoSpaceDN/>
              <w:bidi w:val="0"/>
              <w:adjustRightInd/>
              <w:snapToGrid/>
              <w:spacing w:line="240" w:lineRule="auto"/>
              <w:ind w:right="0"/>
              <w:jc w:val="righ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日期：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7" w:hRule="atLeast"/>
          <w:jc w:val="center"/>
        </w:trPr>
        <w:tc>
          <w:tcPr>
            <w:tcW w:w="1793" w:type="dxa"/>
            <w:tcBorders>
              <w:top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kern w:val="2"/>
                <w:sz w:val="22"/>
                <w:szCs w:val="22"/>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kern w:val="2"/>
                <w:sz w:val="22"/>
                <w:szCs w:val="22"/>
                <w:lang w:val="en-US" w:eastAsia="zh-CN" w:bidi="ar-SA"/>
              </w:rPr>
            </w:pPr>
            <w:r>
              <w:rPr>
                <w:rFonts w:hint="eastAsia" w:ascii="仿宋_GB2312" w:hAnsi="仿宋_GB2312" w:eastAsia="仿宋_GB2312" w:cs="仿宋_GB2312"/>
                <w:kern w:val="2"/>
                <w:sz w:val="22"/>
                <w:szCs w:val="22"/>
                <w:lang w:val="en-US" w:eastAsia="zh-CN" w:bidi="ar-SA"/>
              </w:rPr>
              <w:t>学</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kern w:val="2"/>
                <w:sz w:val="22"/>
                <w:szCs w:val="22"/>
                <w:lang w:val="en-US" w:eastAsia="zh-CN" w:bidi="ar-SA"/>
              </w:rPr>
            </w:pPr>
            <w:r>
              <w:rPr>
                <w:rFonts w:hint="eastAsia" w:ascii="仿宋_GB2312" w:hAnsi="仿宋_GB2312" w:eastAsia="仿宋_GB2312" w:cs="仿宋_GB2312"/>
                <w:kern w:val="2"/>
                <w:sz w:val="22"/>
                <w:szCs w:val="22"/>
                <w:lang w:val="en-US" w:eastAsia="zh-CN" w:bidi="ar-SA"/>
              </w:rPr>
              <w:t>院</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kern w:val="2"/>
                <w:sz w:val="22"/>
                <w:szCs w:val="22"/>
                <w:lang w:val="en-US" w:eastAsia="zh-CN" w:bidi="ar-SA"/>
              </w:rPr>
            </w:pPr>
            <w:r>
              <w:rPr>
                <w:rFonts w:hint="eastAsia" w:ascii="仿宋_GB2312" w:hAnsi="仿宋_GB2312" w:eastAsia="仿宋_GB2312" w:cs="仿宋_GB2312"/>
                <w:kern w:val="2"/>
                <w:sz w:val="22"/>
                <w:szCs w:val="22"/>
                <w:lang w:val="en-US" w:eastAsia="zh-CN" w:bidi="ar-SA"/>
              </w:rPr>
              <w:t>审</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kern w:val="2"/>
                <w:sz w:val="22"/>
                <w:szCs w:val="22"/>
                <w:lang w:val="en-US" w:eastAsia="zh-CN" w:bidi="ar-SA"/>
              </w:rPr>
            </w:pPr>
            <w:r>
              <w:rPr>
                <w:rFonts w:hint="eastAsia" w:ascii="仿宋_GB2312" w:hAnsi="仿宋_GB2312" w:eastAsia="仿宋_GB2312" w:cs="仿宋_GB2312"/>
                <w:kern w:val="2"/>
                <w:sz w:val="22"/>
                <w:szCs w:val="22"/>
                <w:lang w:val="en-US" w:eastAsia="zh-CN" w:bidi="ar-SA"/>
              </w:rPr>
              <w:t>核</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kern w:val="2"/>
                <w:sz w:val="22"/>
                <w:szCs w:val="22"/>
                <w:lang w:val="en-US" w:eastAsia="zh-CN" w:bidi="ar-SA"/>
              </w:rPr>
            </w:pPr>
            <w:r>
              <w:rPr>
                <w:rFonts w:hint="eastAsia" w:ascii="仿宋_GB2312" w:hAnsi="仿宋_GB2312" w:eastAsia="仿宋_GB2312" w:cs="仿宋_GB2312"/>
                <w:kern w:val="2"/>
                <w:sz w:val="22"/>
                <w:szCs w:val="22"/>
                <w:lang w:val="en-US" w:eastAsia="zh-CN" w:bidi="ar-SA"/>
              </w:rPr>
              <w:t>意</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kern w:val="2"/>
                <w:sz w:val="22"/>
                <w:szCs w:val="22"/>
                <w:lang w:val="en-US" w:eastAsia="zh-CN" w:bidi="ar-SA"/>
              </w:rPr>
            </w:pPr>
            <w:r>
              <w:rPr>
                <w:rFonts w:hint="eastAsia" w:ascii="仿宋_GB2312" w:hAnsi="仿宋_GB2312" w:eastAsia="仿宋_GB2312" w:cs="仿宋_GB2312"/>
                <w:kern w:val="2"/>
                <w:sz w:val="22"/>
                <w:szCs w:val="22"/>
                <w:lang w:val="en-US" w:eastAsia="zh-CN" w:bidi="ar-SA"/>
              </w:rPr>
              <w:t>见</w:t>
            </w:r>
          </w:p>
        </w:tc>
        <w:tc>
          <w:tcPr>
            <w:tcW w:w="8477" w:type="dxa"/>
            <w:gridSpan w:val="5"/>
            <w:tcBorders>
              <w:top w:val="single" w:color="auto" w:sz="4" w:space="0"/>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该生工作经历是否符合以工作代实习学分转换要求。</w:t>
            </w:r>
          </w:p>
          <w:p>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仿宋_GB2312" w:hAnsi="仿宋_GB2312" w:eastAsia="仿宋_GB2312" w:cs="仿宋_GB2312"/>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仿宋_GB2312" w:hAnsi="仿宋_GB2312" w:eastAsia="仿宋_GB2312" w:cs="仿宋_GB2312"/>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 xml:space="preserve">  学院负责人签字：</w:t>
            </w: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（加盖公章）</w:t>
            </w:r>
          </w:p>
          <w:p>
            <w:pPr>
              <w:keepNext w:val="0"/>
              <w:keepLines w:val="0"/>
              <w:pageBreakBefore w:val="0"/>
              <w:widowControl w:val="0"/>
              <w:kinsoku/>
              <w:wordWrap/>
              <w:overflowPunct/>
              <w:topLinePunct w:val="0"/>
              <w:autoSpaceDE/>
              <w:autoSpaceDN/>
              <w:bidi w:val="0"/>
              <w:adjustRightInd/>
              <w:snapToGrid/>
              <w:spacing w:line="240" w:lineRule="auto"/>
              <w:ind w:right="0"/>
              <w:jc w:val="right"/>
              <w:textAlignment w:val="auto"/>
              <w:rPr>
                <w:rFonts w:hint="eastAsia" w:ascii="仿宋_GB2312" w:hAnsi="仿宋_GB2312" w:eastAsia="仿宋_GB2312" w:cs="仿宋_GB2312"/>
                <w:kern w:val="2"/>
                <w:sz w:val="22"/>
                <w:szCs w:val="22"/>
                <w:lang w:val="en-US" w:eastAsia="zh-CN" w:bidi="ar-SA"/>
              </w:rPr>
            </w:pPr>
            <w:r>
              <w:rPr>
                <w:rFonts w:hint="eastAsia" w:ascii="仿宋_GB2312" w:hAnsi="仿宋_GB2312" w:eastAsia="仿宋_GB2312" w:cs="仿宋_GB2312"/>
                <w:sz w:val="22"/>
                <w:szCs w:val="22"/>
                <w:lang w:val="en-US" w:eastAsia="zh-CN"/>
              </w:rPr>
              <w:t>日期：    年    月   日</w:t>
            </w:r>
          </w:p>
        </w:tc>
      </w:tr>
    </w:tbl>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说明：1.请如实填写表格中的内容，并加盖相关单位公章；</w:t>
      </w:r>
    </w:p>
    <w:p>
      <w:pPr>
        <w:keepNext w:val="0"/>
        <w:keepLines w:val="0"/>
        <w:pageBreakBefore w:val="0"/>
        <w:widowControl w:val="0"/>
        <w:numPr>
          <w:ilvl w:val="0"/>
          <w:numId w:val="1"/>
        </w:numPr>
        <w:kinsoku/>
        <w:wordWrap/>
        <w:overflowPunct/>
        <w:topLinePunct w:val="0"/>
        <w:autoSpaceDE/>
        <w:autoSpaceDN/>
        <w:bidi w:val="0"/>
        <w:adjustRightInd/>
        <w:snapToGrid/>
        <w:spacing w:line="340" w:lineRule="exact"/>
        <w:ind w:left="615" w:leftChars="0" w:firstLineChars="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需另附有效工作经历证明，具体要求如下：（1）企业工作人员，需提供本人身份证复印</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件、本人与用人单位签署的劳动合同和用人单位给本人缴纳社保的证明（由参保地社保局出具，社保缴纳单位应与劳动合同签订单位一致）；（2）机关、事业单位工作人员需提供本人身份证复印件、单位出具的在职工作证明和工作单位给本人缴纳社保的证明（由参保地社保局出具，社保缴纳单位应与在职工作证明出具单位一致）；（3）劳务派遣人员需提供派遣公司为本人缴纳的社保证明（由参保地社保局出具），应再附上加盖公章的劳务派遣协议证明，劳务派遣人员的的学分转换申请表需由申请人的实际工作单位签署意见并加盖公章，实际工作单位应与劳务派遣协议中的派遣单位一致；（4）自主创业人员需提供本人身份证复印件、自己所经营企业的营业执照复印件。</w:t>
      </w:r>
    </w:p>
    <w:p>
      <w:pPr>
        <w:keepNext w:val="0"/>
        <w:keepLines w:val="0"/>
        <w:pageBreakBefore w:val="0"/>
        <w:widowControl w:val="0"/>
        <w:kinsoku/>
        <w:wordWrap/>
        <w:overflowPunct/>
        <w:topLinePunct w:val="0"/>
        <w:autoSpaceDE/>
        <w:autoSpaceDN/>
        <w:bidi w:val="0"/>
        <w:adjustRightInd/>
        <w:snapToGrid/>
        <w:spacing w:line="340" w:lineRule="exact"/>
        <w:ind w:left="0" w:leftChars="0" w:firstLine="618" w:firstLineChars="3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3.工作单位社会信用代码和法人信息可通过“天眼查”APP查询。</w:t>
      </w:r>
    </w:p>
    <w:p>
      <w:pPr>
        <w:keepNext w:val="0"/>
        <w:keepLines w:val="0"/>
        <w:pageBreakBefore w:val="0"/>
        <w:widowControl w:val="0"/>
        <w:kinsoku/>
        <w:wordWrap/>
        <w:overflowPunct/>
        <w:topLinePunct w:val="0"/>
        <w:autoSpaceDE/>
        <w:autoSpaceDN/>
        <w:bidi w:val="0"/>
        <w:adjustRightInd/>
        <w:snapToGrid/>
        <w:spacing w:line="340" w:lineRule="exact"/>
        <w:ind w:left="0" w:leftChars="0" w:firstLine="618" w:firstLineChars="3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以上材料均需一式两份，一份留校区存档备查，一份（同一人的按照申请表、身份证复印件、有效工作经历证明资料照由上至下的顺序装订）随校区《高等学历继续教育学生学分转换申请花名册》一同寄送至学分银行管理中心。</w:t>
      </w:r>
    </w:p>
    <w:p>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szCs w:val="32"/>
          <w:lang w:val="en-US" w:eastAsia="zh-CN"/>
        </w:rPr>
        <w:sectPr>
          <w:pgSz w:w="11906" w:h="16838"/>
          <w:pgMar w:top="2098" w:right="1531" w:bottom="1984" w:left="1531" w:header="851" w:footer="1134" w:gutter="0"/>
          <w:pgNumType w:fmt="decimal"/>
          <w:cols w:space="720" w:num="1"/>
          <w:docGrid w:type="linesAndChars" w:linePitch="579" w:charSpace="-849"/>
        </w:sectPr>
      </w:pPr>
    </w:p>
    <w:p>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黑体" w:hAnsi="黑体" w:eastAsia="黑体" w:cs="黑体"/>
          <w:sz w:val="34"/>
          <w:szCs w:val="34"/>
          <w:lang w:val="en-US" w:eastAsia="zh-CN"/>
        </w:rPr>
      </w:pPr>
      <w:r>
        <w:rPr>
          <w:rFonts w:hint="eastAsia" w:ascii="黑体" w:hAnsi="黑体" w:eastAsia="黑体" w:cs="黑体"/>
          <w:sz w:val="34"/>
          <w:szCs w:val="34"/>
          <w:lang w:val="en-US" w:eastAsia="zh-CN"/>
        </w:rPr>
        <w:t>附件4</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仿宋" w:eastAsia="方正小标宋简体" w:cs="宋体"/>
          <w:color w:val="000000"/>
          <w:kern w:val="0"/>
          <w:sz w:val="40"/>
          <w:szCs w:val="40"/>
          <w:lang w:bidi="mn-Mong-CN"/>
        </w:rPr>
      </w:pPr>
      <w:r>
        <w:rPr>
          <w:rFonts w:hint="eastAsia" w:ascii="方正小标宋简体" w:hAnsi="仿宋" w:eastAsia="方正小标宋简体" w:cs="宋体"/>
          <w:color w:val="000000"/>
          <w:kern w:val="0"/>
          <w:sz w:val="40"/>
          <w:szCs w:val="40"/>
          <w:lang w:val="en-US" w:eastAsia="zh-CN" w:bidi="mn-Mong-CN"/>
        </w:rPr>
        <w:t>河南开放大学</w:t>
      </w:r>
      <w:r>
        <w:rPr>
          <w:rFonts w:hint="eastAsia" w:ascii="方正小标宋简体" w:hAnsi="仿宋" w:eastAsia="方正小标宋简体" w:cs="宋体"/>
          <w:color w:val="000000"/>
          <w:kern w:val="0"/>
          <w:sz w:val="40"/>
          <w:szCs w:val="40"/>
          <w:lang w:bidi="mn-Mong-CN"/>
        </w:rPr>
        <w:t>高</w:t>
      </w:r>
      <w:r>
        <w:rPr>
          <w:rFonts w:hint="eastAsia" w:ascii="方正小标宋简体" w:hAnsi="仿宋" w:eastAsia="方正小标宋简体" w:cs="宋体"/>
          <w:color w:val="000000"/>
          <w:kern w:val="0"/>
          <w:sz w:val="40"/>
          <w:szCs w:val="40"/>
          <w:lang w:val="en-US" w:eastAsia="zh-CN" w:bidi="mn-Mong-CN"/>
        </w:rPr>
        <w:t>等学历继续教育</w:t>
      </w:r>
      <w:r>
        <w:rPr>
          <w:rFonts w:hint="eastAsia" w:ascii="方正小标宋简体" w:hAnsi="仿宋" w:eastAsia="方正小标宋简体" w:cs="宋体"/>
          <w:color w:val="000000"/>
          <w:kern w:val="0"/>
          <w:sz w:val="40"/>
          <w:szCs w:val="40"/>
          <w:lang w:bidi="mn-Mong-CN"/>
        </w:rPr>
        <w:t>学生学分转换申请花名册</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仿宋" w:eastAsia="方正小标宋简体" w:cs="宋体"/>
          <w:color w:val="000000"/>
          <w:kern w:val="0"/>
          <w:sz w:val="40"/>
          <w:szCs w:val="40"/>
          <w:lang w:bidi="mn-Mong-CN"/>
        </w:rPr>
      </w:pPr>
    </w:p>
    <w:p>
      <w:pPr>
        <w:jc w:val="left"/>
        <w:rPr>
          <w:rFonts w:hint="eastAsia" w:ascii="黑体" w:hAnsi="黑体" w:eastAsia="黑体" w:cs="黑体"/>
          <w:kern w:val="0"/>
          <w:sz w:val="24"/>
          <w:szCs w:val="24"/>
        </w:rPr>
      </w:pPr>
      <w:r>
        <w:rPr>
          <w:rFonts w:hint="eastAsia" w:ascii="黑体" w:hAnsi="黑体" w:eastAsia="黑体" w:cs="黑体"/>
          <w:color w:val="000000"/>
          <w:kern w:val="0"/>
          <w:sz w:val="24"/>
          <w:szCs w:val="24"/>
          <w:lang w:bidi="mn-Mong-CN"/>
        </w:rPr>
        <w:t>校区（盖章）：                                                          制表时间：</w:t>
      </w:r>
    </w:p>
    <w:tbl>
      <w:tblPr>
        <w:tblStyle w:val="10"/>
        <w:tblW w:w="13988" w:type="dxa"/>
        <w:tblInd w:w="108" w:type="dxa"/>
        <w:tblLayout w:type="fixed"/>
        <w:tblCellMar>
          <w:top w:w="0" w:type="dxa"/>
          <w:left w:w="108" w:type="dxa"/>
          <w:bottom w:w="0" w:type="dxa"/>
          <w:right w:w="108" w:type="dxa"/>
        </w:tblCellMar>
      </w:tblPr>
      <w:tblGrid>
        <w:gridCol w:w="883"/>
        <w:gridCol w:w="871"/>
        <w:gridCol w:w="2191"/>
        <w:gridCol w:w="2191"/>
        <w:gridCol w:w="2191"/>
        <w:gridCol w:w="2066"/>
        <w:gridCol w:w="1418"/>
        <w:gridCol w:w="2177"/>
      </w:tblGrid>
      <w:tr>
        <w:tblPrEx>
          <w:tblCellMar>
            <w:top w:w="0" w:type="dxa"/>
            <w:left w:w="108" w:type="dxa"/>
            <w:bottom w:w="0" w:type="dxa"/>
            <w:right w:w="108" w:type="dxa"/>
          </w:tblCellMar>
        </w:tblPrEx>
        <w:trPr>
          <w:trHeight w:val="300" w:hRule="atLeast"/>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楷体" w:hAnsi="楷体" w:eastAsia="楷体" w:cs="楷体"/>
                <w:b w:val="0"/>
                <w:bCs w:val="0"/>
                <w:color w:val="000000"/>
                <w:kern w:val="0"/>
                <w:sz w:val="24"/>
                <w:szCs w:val="22"/>
                <w:lang w:bidi="mn-Mong-CN"/>
              </w:rPr>
            </w:pPr>
            <w:r>
              <w:rPr>
                <w:rFonts w:hint="eastAsia" w:ascii="楷体" w:hAnsi="楷体" w:eastAsia="楷体" w:cs="楷体"/>
                <w:b w:val="0"/>
                <w:bCs w:val="0"/>
                <w:color w:val="000000"/>
                <w:kern w:val="0"/>
                <w:sz w:val="24"/>
                <w:szCs w:val="22"/>
                <w:lang w:bidi="mn-Mong-CN"/>
              </w:rPr>
              <w:t>学号</w:t>
            </w:r>
          </w:p>
        </w:tc>
        <w:tc>
          <w:tcPr>
            <w:tcW w:w="8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楷体" w:hAnsi="楷体" w:eastAsia="楷体" w:cs="楷体"/>
                <w:b w:val="0"/>
                <w:bCs w:val="0"/>
                <w:color w:val="000000"/>
                <w:kern w:val="0"/>
                <w:sz w:val="24"/>
                <w:szCs w:val="22"/>
                <w:lang w:bidi="mn-Mong-CN"/>
              </w:rPr>
            </w:pPr>
            <w:r>
              <w:rPr>
                <w:rFonts w:hint="eastAsia" w:ascii="楷体" w:hAnsi="楷体" w:eastAsia="楷体" w:cs="楷体"/>
                <w:b w:val="0"/>
                <w:bCs w:val="0"/>
                <w:color w:val="000000"/>
                <w:kern w:val="0"/>
                <w:sz w:val="24"/>
                <w:szCs w:val="22"/>
                <w:lang w:bidi="mn-Mong-CN"/>
              </w:rPr>
              <w:t>姓名</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楷体" w:hAnsi="楷体" w:eastAsia="楷体" w:cs="楷体"/>
                <w:b w:val="0"/>
                <w:bCs w:val="0"/>
                <w:color w:val="000000"/>
                <w:kern w:val="0"/>
                <w:sz w:val="24"/>
                <w:szCs w:val="22"/>
                <w:lang w:bidi="mn-Mong-CN"/>
              </w:rPr>
            </w:pPr>
            <w:r>
              <w:rPr>
                <w:rFonts w:hint="eastAsia" w:ascii="楷体" w:hAnsi="楷体" w:eastAsia="楷体" w:cs="楷体"/>
                <w:b w:val="0"/>
                <w:bCs w:val="0"/>
                <w:color w:val="000000"/>
                <w:kern w:val="0"/>
                <w:sz w:val="24"/>
                <w:szCs w:val="22"/>
                <w:lang w:bidi="mn-Mong-CN"/>
              </w:rPr>
              <w:t>转换类型</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楷体" w:hAnsi="楷体" w:eastAsia="楷体" w:cs="楷体"/>
                <w:b w:val="0"/>
                <w:bCs w:val="0"/>
                <w:color w:val="000000"/>
                <w:kern w:val="0"/>
                <w:sz w:val="24"/>
                <w:szCs w:val="22"/>
                <w:lang w:bidi="mn-Mong-CN"/>
              </w:rPr>
            </w:pPr>
            <w:r>
              <w:rPr>
                <w:rFonts w:hint="eastAsia" w:ascii="楷体" w:hAnsi="楷体" w:eastAsia="楷体" w:cs="楷体"/>
                <w:b w:val="0"/>
                <w:bCs w:val="0"/>
                <w:color w:val="000000"/>
                <w:kern w:val="0"/>
                <w:sz w:val="24"/>
                <w:szCs w:val="22"/>
                <w:lang w:bidi="mn-Mong-CN"/>
              </w:rPr>
              <w:t>成果类型</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楷体" w:hAnsi="楷体" w:eastAsia="楷体" w:cs="楷体"/>
                <w:b w:val="0"/>
                <w:bCs w:val="0"/>
                <w:color w:val="000000"/>
                <w:kern w:val="0"/>
                <w:sz w:val="24"/>
                <w:szCs w:val="22"/>
                <w:lang w:bidi="mn-Mong-CN"/>
              </w:rPr>
            </w:pPr>
            <w:r>
              <w:rPr>
                <w:rFonts w:hint="eastAsia" w:ascii="楷体" w:hAnsi="楷体" w:eastAsia="楷体" w:cs="楷体"/>
                <w:b w:val="0"/>
                <w:bCs w:val="0"/>
                <w:color w:val="000000"/>
                <w:kern w:val="0"/>
                <w:sz w:val="24"/>
                <w:szCs w:val="22"/>
                <w:lang w:bidi="mn-Mong-CN"/>
              </w:rPr>
              <w:t>专业名称</w:t>
            </w:r>
          </w:p>
        </w:tc>
        <w:tc>
          <w:tcPr>
            <w:tcW w:w="20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楷体" w:hAnsi="楷体" w:eastAsia="楷体" w:cs="楷体"/>
                <w:b w:val="0"/>
                <w:bCs w:val="0"/>
                <w:color w:val="000000"/>
                <w:kern w:val="0"/>
                <w:sz w:val="24"/>
                <w:szCs w:val="22"/>
                <w:lang w:bidi="mn-Mong-CN"/>
              </w:rPr>
            </w:pPr>
            <w:r>
              <w:rPr>
                <w:rFonts w:hint="eastAsia" w:ascii="楷体" w:hAnsi="楷体" w:eastAsia="楷体" w:cs="楷体"/>
                <w:b w:val="0"/>
                <w:bCs w:val="0"/>
                <w:color w:val="000000"/>
                <w:kern w:val="0"/>
                <w:sz w:val="24"/>
                <w:szCs w:val="22"/>
                <w:lang w:bidi="mn-Mong-CN"/>
              </w:rPr>
              <w:t>学习成果名称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楷体" w:hAnsi="楷体" w:eastAsia="楷体" w:cs="楷体"/>
                <w:b w:val="0"/>
                <w:bCs w:val="0"/>
                <w:color w:val="000000"/>
                <w:kern w:val="0"/>
                <w:sz w:val="24"/>
                <w:szCs w:val="22"/>
                <w:lang w:bidi="mn-Mong-CN"/>
              </w:rPr>
            </w:pPr>
            <w:r>
              <w:rPr>
                <w:rFonts w:hint="eastAsia" w:ascii="楷体" w:hAnsi="楷体" w:eastAsia="楷体" w:cs="楷体"/>
                <w:b w:val="0"/>
                <w:bCs w:val="0"/>
                <w:color w:val="000000"/>
                <w:kern w:val="0"/>
                <w:sz w:val="24"/>
                <w:szCs w:val="22"/>
                <w:lang w:bidi="mn-Mong-CN"/>
              </w:rPr>
              <w:t>申请转换课程代码</w:t>
            </w:r>
          </w:p>
        </w:tc>
        <w:tc>
          <w:tcPr>
            <w:tcW w:w="21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楷体" w:hAnsi="楷体" w:eastAsia="楷体" w:cs="楷体"/>
                <w:b w:val="0"/>
                <w:bCs w:val="0"/>
                <w:color w:val="000000"/>
                <w:kern w:val="0"/>
                <w:sz w:val="24"/>
                <w:szCs w:val="22"/>
                <w:lang w:bidi="mn-Mong-CN"/>
              </w:rPr>
            </w:pPr>
            <w:r>
              <w:rPr>
                <w:rFonts w:hint="eastAsia" w:ascii="楷体" w:hAnsi="楷体" w:eastAsia="楷体" w:cs="楷体"/>
                <w:b w:val="0"/>
                <w:bCs w:val="0"/>
                <w:color w:val="000000"/>
                <w:kern w:val="0"/>
                <w:sz w:val="24"/>
                <w:szCs w:val="22"/>
                <w:lang w:bidi="mn-Mong-CN"/>
              </w:rPr>
              <w:t>申请转换课程名称</w:t>
            </w:r>
          </w:p>
        </w:tc>
      </w:tr>
      <w:tr>
        <w:tblPrEx>
          <w:tblCellMar>
            <w:top w:w="0" w:type="dxa"/>
            <w:left w:w="108" w:type="dxa"/>
            <w:bottom w:w="0" w:type="dxa"/>
            <w:right w:w="108" w:type="dxa"/>
          </w:tblCellMar>
        </w:tblPrEx>
        <w:trPr>
          <w:trHeight w:val="300" w:hRule="atLeast"/>
        </w:trPr>
        <w:tc>
          <w:tcPr>
            <w:tcW w:w="883" w:type="dxa"/>
            <w:tcBorders>
              <w:top w:val="single" w:color="auto" w:sz="4"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871"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91" w:type="dxa"/>
            <w:tcBorders>
              <w:top w:val="single" w:color="auto" w:sz="4"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4"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4"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066" w:type="dxa"/>
            <w:tcBorders>
              <w:top w:val="single" w:color="auto" w:sz="4"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1418"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77"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r>
      <w:tr>
        <w:tblPrEx>
          <w:tblCellMar>
            <w:top w:w="0" w:type="dxa"/>
            <w:left w:w="108" w:type="dxa"/>
            <w:bottom w:w="0" w:type="dxa"/>
            <w:right w:w="108" w:type="dxa"/>
          </w:tblCellMar>
        </w:tblPrEx>
        <w:trPr>
          <w:trHeight w:val="300" w:hRule="atLeast"/>
        </w:trPr>
        <w:tc>
          <w:tcPr>
            <w:tcW w:w="883"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871"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91" w:type="dxa"/>
            <w:tcBorders>
              <w:top w:val="single" w:color="auto" w:sz="8"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066" w:type="dxa"/>
            <w:tcBorders>
              <w:top w:val="single" w:color="auto" w:sz="8"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1418"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77"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r>
      <w:tr>
        <w:tblPrEx>
          <w:tblCellMar>
            <w:top w:w="0" w:type="dxa"/>
            <w:left w:w="108" w:type="dxa"/>
            <w:bottom w:w="0" w:type="dxa"/>
            <w:right w:w="108" w:type="dxa"/>
          </w:tblCellMar>
        </w:tblPrEx>
        <w:trPr>
          <w:trHeight w:val="300" w:hRule="atLeast"/>
        </w:trPr>
        <w:tc>
          <w:tcPr>
            <w:tcW w:w="883"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871"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91" w:type="dxa"/>
            <w:tcBorders>
              <w:top w:val="single" w:color="auto" w:sz="8"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066" w:type="dxa"/>
            <w:tcBorders>
              <w:top w:val="single" w:color="auto" w:sz="8"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1418"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77"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r>
      <w:tr>
        <w:tblPrEx>
          <w:tblCellMar>
            <w:top w:w="0" w:type="dxa"/>
            <w:left w:w="108" w:type="dxa"/>
            <w:bottom w:w="0" w:type="dxa"/>
            <w:right w:w="108" w:type="dxa"/>
          </w:tblCellMar>
        </w:tblPrEx>
        <w:trPr>
          <w:trHeight w:val="300" w:hRule="atLeast"/>
        </w:trPr>
        <w:tc>
          <w:tcPr>
            <w:tcW w:w="883"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871"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91" w:type="dxa"/>
            <w:tcBorders>
              <w:top w:val="single" w:color="auto" w:sz="8"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066" w:type="dxa"/>
            <w:tcBorders>
              <w:top w:val="single" w:color="auto" w:sz="8"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1418"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77"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r>
      <w:tr>
        <w:tblPrEx>
          <w:tblCellMar>
            <w:top w:w="0" w:type="dxa"/>
            <w:left w:w="108" w:type="dxa"/>
            <w:bottom w:w="0" w:type="dxa"/>
            <w:right w:w="108" w:type="dxa"/>
          </w:tblCellMar>
        </w:tblPrEx>
        <w:trPr>
          <w:trHeight w:val="300" w:hRule="atLeast"/>
        </w:trPr>
        <w:tc>
          <w:tcPr>
            <w:tcW w:w="883"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871"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91" w:type="dxa"/>
            <w:tcBorders>
              <w:top w:val="single" w:color="auto" w:sz="8"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066" w:type="dxa"/>
            <w:tcBorders>
              <w:top w:val="single" w:color="auto" w:sz="8"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1418"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77"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r>
    </w:tbl>
    <w:p>
      <w:pPr>
        <w:spacing w:line="400" w:lineRule="exact"/>
        <w:jc w:val="left"/>
        <w:rPr>
          <w:rFonts w:hint="eastAsia" w:ascii="仿宋_GB2312" w:hAnsi="仿宋_GB2312" w:eastAsia="仿宋_GB2312" w:cs="仿宋_GB2312"/>
          <w:color w:val="000000"/>
          <w:kern w:val="0"/>
          <w:sz w:val="21"/>
          <w:szCs w:val="21"/>
          <w:lang w:bidi="mn-Mong-CN"/>
        </w:rPr>
      </w:pPr>
      <w:r>
        <w:rPr>
          <w:rFonts w:hint="eastAsia" w:ascii="仿宋_GB2312" w:hAnsi="仿宋_GB2312" w:eastAsia="仿宋_GB2312" w:cs="仿宋_GB2312"/>
          <w:color w:val="000000"/>
          <w:kern w:val="0"/>
          <w:sz w:val="21"/>
          <w:szCs w:val="21"/>
          <w:lang w:bidi="mn-Mong-CN"/>
        </w:rPr>
        <w:t>注：1.转换类型、成果类型、学习成果名称均按照</w:t>
      </w:r>
      <w:r>
        <w:rPr>
          <w:rFonts w:hint="eastAsia" w:ascii="仿宋_GB2312" w:hAnsi="仿宋_GB2312" w:eastAsia="仿宋_GB2312" w:cs="仿宋_GB2312"/>
          <w:color w:val="000000"/>
          <w:kern w:val="0"/>
          <w:sz w:val="21"/>
          <w:szCs w:val="21"/>
          <w:lang w:val="en-US" w:eastAsia="zh-CN" w:bidi="mn-Mong-CN"/>
        </w:rPr>
        <w:t>高等学历继续教育平台</w:t>
      </w:r>
      <w:r>
        <w:rPr>
          <w:rFonts w:hint="eastAsia" w:ascii="仿宋_GB2312" w:hAnsi="仿宋_GB2312" w:eastAsia="仿宋_GB2312" w:cs="仿宋_GB2312"/>
          <w:color w:val="000000"/>
          <w:kern w:val="0"/>
          <w:sz w:val="21"/>
          <w:szCs w:val="21"/>
          <w:lang w:eastAsia="zh-CN" w:bidi="mn-Mong-CN"/>
        </w:rPr>
        <w:t>（</w:t>
      </w:r>
      <w:r>
        <w:rPr>
          <w:rFonts w:hint="eastAsia" w:ascii="仿宋_GB2312" w:hAnsi="仿宋_GB2312" w:eastAsia="仿宋_GB2312" w:cs="仿宋_GB2312"/>
          <w:color w:val="000000"/>
          <w:kern w:val="0"/>
          <w:sz w:val="21"/>
          <w:szCs w:val="21"/>
          <w:lang w:val="en-US" w:eastAsia="zh-CN" w:bidi="mn-Mong-CN"/>
        </w:rPr>
        <w:t>同</w:t>
      </w:r>
      <w:r>
        <w:rPr>
          <w:rFonts w:hint="eastAsia" w:ascii="仿宋_GB2312" w:hAnsi="仿宋_GB2312" w:eastAsia="仿宋_GB2312" w:cs="仿宋_GB2312"/>
          <w:color w:val="000000"/>
          <w:kern w:val="0"/>
          <w:sz w:val="21"/>
          <w:szCs w:val="21"/>
          <w:lang w:bidi="mn-Mong-CN"/>
        </w:rPr>
        <w:t>高职扩招教务平台</w:t>
      </w:r>
      <w:r>
        <w:rPr>
          <w:rFonts w:hint="eastAsia" w:ascii="仿宋_GB2312" w:hAnsi="仿宋_GB2312" w:eastAsia="仿宋_GB2312" w:cs="仿宋_GB2312"/>
          <w:color w:val="000000"/>
          <w:kern w:val="0"/>
          <w:sz w:val="21"/>
          <w:szCs w:val="21"/>
          <w:lang w:eastAsia="zh-CN" w:bidi="mn-Mong-CN"/>
        </w:rPr>
        <w:t>）</w:t>
      </w:r>
      <w:r>
        <w:rPr>
          <w:rFonts w:hint="eastAsia" w:ascii="仿宋_GB2312" w:hAnsi="仿宋_GB2312" w:eastAsia="仿宋_GB2312" w:cs="仿宋_GB2312"/>
          <w:color w:val="000000"/>
          <w:kern w:val="0"/>
          <w:sz w:val="21"/>
          <w:szCs w:val="21"/>
          <w:lang w:bidi="mn-Mong-CN"/>
        </w:rPr>
        <w:t>显示内容准确填写。</w:t>
      </w:r>
    </w:p>
    <w:p>
      <w:pPr>
        <w:spacing w:line="400" w:lineRule="exact"/>
        <w:jc w:val="left"/>
        <w:rPr>
          <w:rFonts w:hint="eastAsia" w:ascii="仿宋_GB2312" w:hAnsi="仿宋_GB2312" w:eastAsia="仿宋_GB2312" w:cs="仿宋_GB2312"/>
          <w:color w:val="000000"/>
          <w:kern w:val="0"/>
          <w:sz w:val="21"/>
          <w:szCs w:val="21"/>
          <w:lang w:bidi="mn-Mong-CN"/>
        </w:rPr>
      </w:pPr>
      <w:r>
        <w:rPr>
          <w:rFonts w:hint="eastAsia" w:ascii="仿宋_GB2312" w:hAnsi="仿宋_GB2312" w:eastAsia="仿宋_GB2312" w:cs="仿宋_GB2312"/>
          <w:color w:val="000000"/>
          <w:kern w:val="0"/>
          <w:sz w:val="21"/>
          <w:szCs w:val="21"/>
          <w:lang w:bidi="mn-Mong-CN"/>
        </w:rPr>
        <w:t xml:space="preserve">    2.专业、申请转换课程代码、申请转换课程名称均按照</w:t>
      </w:r>
      <w:r>
        <w:rPr>
          <w:rFonts w:hint="eastAsia" w:ascii="仿宋_GB2312" w:hAnsi="仿宋_GB2312" w:eastAsia="仿宋_GB2312" w:cs="仿宋_GB2312"/>
          <w:color w:val="000000"/>
          <w:kern w:val="0"/>
          <w:sz w:val="21"/>
          <w:szCs w:val="21"/>
          <w:lang w:val="en-US" w:eastAsia="zh-CN" w:bidi="mn-Mong-CN"/>
        </w:rPr>
        <w:t>高等学历继续</w:t>
      </w:r>
      <w:r>
        <w:rPr>
          <w:rFonts w:hint="eastAsia" w:ascii="仿宋_GB2312" w:hAnsi="仿宋_GB2312" w:eastAsia="仿宋_GB2312" w:cs="仿宋_GB2312"/>
          <w:color w:val="000000"/>
          <w:kern w:val="0"/>
          <w:sz w:val="21"/>
          <w:szCs w:val="21"/>
          <w:lang w:bidi="mn-Mong-CN"/>
        </w:rPr>
        <w:t>教务平台教务数据准确填写。</w:t>
      </w:r>
    </w:p>
    <w:p>
      <w:pPr>
        <w:spacing w:line="400" w:lineRule="exact"/>
        <w:ind w:firstLine="420" w:firstLineChars="200"/>
        <w:jc w:val="left"/>
        <w:rPr>
          <w:rFonts w:hint="eastAsia" w:ascii="仿宋_GB2312" w:hAnsi="仿宋_GB2312" w:eastAsia="仿宋_GB2312" w:cs="仿宋_GB2312"/>
          <w:color w:val="000000"/>
          <w:kern w:val="0"/>
          <w:sz w:val="21"/>
          <w:szCs w:val="21"/>
          <w:lang w:bidi="mn-Mong-CN"/>
        </w:rPr>
      </w:pPr>
      <w:r>
        <w:rPr>
          <w:rFonts w:hint="eastAsia" w:ascii="仿宋_GB2312" w:hAnsi="仿宋_GB2312" w:eastAsia="仿宋_GB2312" w:cs="仿宋_GB2312"/>
          <w:color w:val="000000"/>
          <w:kern w:val="0"/>
          <w:sz w:val="21"/>
          <w:szCs w:val="21"/>
          <w:lang w:bidi="mn-Mong-CN"/>
        </w:rPr>
        <w:t>3.已对本表学生提供学习成果证明材料原件审核通过，本表一式两份，一份校区留存，一份学分银行管理中心留存。</w:t>
      </w:r>
    </w:p>
    <w:p>
      <w:pPr>
        <w:spacing w:line="400" w:lineRule="exact"/>
        <w:jc w:val="left"/>
        <w:rPr>
          <w:rFonts w:hint="eastAsia" w:ascii="仿宋_GB2312" w:hAnsi="仿宋_GB2312" w:eastAsia="仿宋_GB2312" w:cs="仿宋_GB2312"/>
          <w:color w:val="000000"/>
          <w:kern w:val="0"/>
          <w:sz w:val="21"/>
          <w:szCs w:val="21"/>
          <w:lang w:bidi="mn-Mong-CN"/>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eastAsia" w:ascii="仿宋_GB2312" w:hAnsi="仿宋_GB2312" w:eastAsia="仿宋_GB2312" w:cs="仿宋_GB2312"/>
          <w:color w:val="000000"/>
          <w:kern w:val="0"/>
          <w:sz w:val="21"/>
          <w:szCs w:val="21"/>
          <w:u w:val="single"/>
          <w:lang w:bidi="mn-Mong-CN"/>
        </w:rPr>
        <w:sectPr>
          <w:pgSz w:w="16838" w:h="11906" w:orient="landscape"/>
          <w:pgMar w:top="1531" w:right="1701" w:bottom="1531" w:left="1984" w:header="851" w:footer="1134" w:gutter="0"/>
          <w:pgNumType w:fmt="decimal"/>
          <w:cols w:space="425" w:num="1"/>
          <w:docGrid w:type="lines" w:linePitch="312" w:charSpace="0"/>
        </w:sectPr>
      </w:pPr>
      <w:r>
        <w:rPr>
          <w:rFonts w:hint="eastAsia" w:ascii="仿宋_GB2312" w:hAnsi="仿宋_GB2312" w:eastAsia="仿宋_GB2312" w:cs="仿宋_GB2312"/>
          <w:color w:val="000000"/>
          <w:kern w:val="0"/>
          <w:sz w:val="21"/>
          <w:szCs w:val="21"/>
          <w:lang w:bidi="mn-Mong-CN"/>
        </w:rPr>
        <w:t>校区审核人：</w:t>
      </w:r>
      <w:r>
        <w:rPr>
          <w:rFonts w:hint="eastAsia" w:ascii="仿宋_GB2312" w:hAnsi="仿宋_GB2312" w:eastAsia="仿宋_GB2312" w:cs="仿宋_GB2312"/>
          <w:color w:val="000000"/>
          <w:kern w:val="0"/>
          <w:sz w:val="21"/>
          <w:szCs w:val="21"/>
          <w:u w:val="single"/>
          <w:lang w:bidi="mn-Mong-CN"/>
        </w:rPr>
        <w:t xml:space="preserve">                 </w:t>
      </w: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eastAsia" w:ascii="仿宋_GB2312" w:hAnsi="仿宋_GB2312" w:eastAsia="仿宋_GB2312" w:cs="仿宋_GB2312"/>
          <w:color w:val="000000"/>
          <w:kern w:val="0"/>
          <w:sz w:val="21"/>
          <w:szCs w:val="21"/>
          <w:u w:val="single"/>
          <w:lang w:val="en-US" w:eastAsia="zh-CN" w:bidi="mn-Mong-CN"/>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840" w:rightChars="400" w:firstLine="0" w:firstLineChars="0"/>
        <w:jc w:val="both"/>
        <w:textAlignment w:val="auto"/>
        <w:rPr>
          <w:rFonts w:hint="default" w:ascii="仿宋_GB2312" w:hAnsi="Times New Roman" w:eastAsia="仿宋_GB2312" w:cs="Times New Roman"/>
          <w:kern w:val="2"/>
          <w:sz w:val="32"/>
          <w:szCs w:val="24"/>
          <w:lang w:val="en-US" w:eastAsia="zh-CN" w:bidi="ar-SA"/>
        </w:rPr>
      </w:pPr>
    </w:p>
    <w:p>
      <w:pPr>
        <w:widowControl w:val="0"/>
        <w:spacing w:line="560" w:lineRule="exact"/>
        <w:ind w:left="0" w:leftChars="0" w:right="840" w:rightChars="400" w:firstLine="0" w:firstLineChars="0"/>
        <w:jc w:val="both"/>
        <w:rPr>
          <w:rFonts w:ascii="仿宋_GB2312" w:hAnsi="Times New Roman" w:eastAsia="仿宋_GB2312" w:cs="Times New Roman"/>
          <w:kern w:val="2"/>
          <w:sz w:val="32"/>
          <w:szCs w:val="24"/>
          <w:lang w:val="en-US" w:eastAsia="zh-CN" w:bidi="ar-SA"/>
        </w:rPr>
      </w:pPr>
      <w:r>
        <w:rPr>
          <w:rFonts w:ascii="仿宋_GB2312" w:hAnsi="Times New Roman" w:eastAsia="仿宋_GB2312" w:cs="Times New Roman"/>
          <w:color w:val="000000"/>
          <w:kern w:val="2"/>
          <w:sz w:val="28"/>
          <w:szCs w:val="28"/>
          <w:lang w:val="en-US" w:eastAsia="zh-CN" w:bidi="ar-SA"/>
        </w:rPr>
        <mc:AlternateContent>
          <mc:Choice Requires="wps">
            <w:drawing>
              <wp:anchor distT="0" distB="0" distL="114300" distR="114300" simplePos="0" relativeHeight="251668480" behindDoc="0" locked="0" layoutInCell="1" allowOverlap="1">
                <wp:simplePos x="0" y="0"/>
                <wp:positionH relativeFrom="column">
                  <wp:posOffset>8890</wp:posOffset>
                </wp:positionH>
                <wp:positionV relativeFrom="paragraph">
                  <wp:posOffset>316230</wp:posOffset>
                </wp:positionV>
                <wp:extent cx="5572760"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557276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7pt;margin-top:24.9pt;height:0pt;width:438.8pt;z-index:251668480;mso-width-relative:page;mso-height-relative:page;" filled="f" stroked="t" coordsize="21600,21600" o:gfxdata="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2rgG9tQAAAAHAQAADwAAAAAAAAABACAAAAAiAAAAZHJzL2Rvd25yZXYueG1sUEsB&#10;AhQAFAAAAAgAh07iQPv0U1z5AQAA8gMAAA4AAAAAAAAAAQAgAAAAIwEAAGRycy9lMm9Eb2MueG1s&#10;UEsFBgAAAAAGAAYAWQEAAI4FAAAAAA==&#10;">
                <v:fill on="f" focussize="0,0"/>
                <v:stroke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79" w:lineRule="exact"/>
        <w:ind w:firstLine="280" w:firstLineChars="100"/>
        <w:textAlignment w:val="auto"/>
        <w:rPr>
          <w:rFonts w:hint="default" w:ascii="仿宋_GB2312" w:hAnsi="Times New Roman" w:eastAsia="仿宋_GB2312" w:cs="Times New Roman"/>
          <w:color w:val="000000"/>
          <w:kern w:val="0"/>
          <w:sz w:val="28"/>
          <w:szCs w:val="28"/>
          <w:lang w:val="en-US" w:eastAsia="zh-CN"/>
        </w:rPr>
      </w:pPr>
      <w:r>
        <w:rPr>
          <w:rFonts w:ascii="Times New Roman" w:hAnsi="Times New Roman" w:eastAsia="仿宋_GB2312" w:cs="Times New Roman"/>
          <w:color w:val="000000"/>
          <w:sz w:val="28"/>
          <w:szCs w:val="28"/>
        </w:rPr>
        <mc:AlternateContent>
          <mc:Choice Requires="wps">
            <w:drawing>
              <wp:anchor distT="0" distB="0" distL="114300" distR="114300" simplePos="0" relativeHeight="251669504" behindDoc="0" locked="0" layoutInCell="1" allowOverlap="1">
                <wp:simplePos x="0" y="0"/>
                <wp:positionH relativeFrom="column">
                  <wp:posOffset>8890</wp:posOffset>
                </wp:positionH>
                <wp:positionV relativeFrom="paragraph">
                  <wp:posOffset>497840</wp:posOffset>
                </wp:positionV>
                <wp:extent cx="5610860" cy="9525"/>
                <wp:effectExtent l="0" t="0" r="0" b="0"/>
                <wp:wrapNone/>
                <wp:docPr id="8" name="直接连接符 8"/>
                <wp:cNvGraphicFramePr/>
                <a:graphic xmlns:a="http://schemas.openxmlformats.org/drawingml/2006/main">
                  <a:graphicData uri="http://schemas.microsoft.com/office/word/2010/wordprocessingShape">
                    <wps:wsp>
                      <wps:cNvCnPr/>
                      <wps:spPr>
                        <a:xfrm>
                          <a:off x="0" y="0"/>
                          <a:ext cx="5610860" cy="952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7pt;margin-top:39.2pt;height:0.75pt;width:441.8pt;z-index:251669504;mso-width-relative:page;mso-height-relative:page;" filled="f" stroked="t" coordsize="21600,21600" o:gfxdata="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jlNCI1QAAAAcBAAAPAAAAAAAAAAEAIAAAACIAAABkcnMvZG93bnJldi54bWxQSwEC&#10;FAAUAAAACACHTuJAafDjPvcBAAD1AwAADgAAAAAAAAABACAAAAAkAQAAZHJzL2Uyb0RvYy54bWxQ&#10;SwUGAAAAAAYABgBZAQAAjQUAAAAA&#10;">
                <v:fill on="f" focussize="0,0"/>
                <v:stroke color="#000000" joinstyle="round"/>
                <v:imagedata o:title=""/>
                <o:lock v:ext="edit" aspectratio="f"/>
              </v:line>
            </w:pict>
          </mc:Fallback>
        </mc:AlternateContent>
      </w:r>
      <w:r>
        <w:rPr>
          <w:rFonts w:hint="eastAsia" w:ascii="仿宋_GB2312" w:hAnsi="Times New Roman" w:eastAsia="仿宋_GB2312" w:cs="Times New Roman"/>
          <w:color w:val="000000"/>
          <w:kern w:val="0"/>
          <w:sz w:val="28"/>
          <w:szCs w:val="28"/>
        </w:rPr>
        <w:t>河南</w:t>
      </w:r>
      <w:r>
        <w:rPr>
          <w:rFonts w:hint="eastAsia" w:ascii="仿宋_GB2312" w:hAnsi="Times New Roman" w:eastAsia="仿宋_GB2312" w:cs="Times New Roman"/>
          <w:color w:val="000000"/>
          <w:kern w:val="0"/>
          <w:sz w:val="28"/>
          <w:szCs w:val="28"/>
          <w:lang w:val="en-US" w:eastAsia="zh-CN"/>
        </w:rPr>
        <w:t>开放</w:t>
      </w:r>
      <w:r>
        <w:rPr>
          <w:rFonts w:hint="eastAsia" w:ascii="仿宋_GB2312" w:hAnsi="Times New Roman" w:eastAsia="仿宋_GB2312" w:cs="Times New Roman"/>
          <w:color w:val="000000"/>
          <w:kern w:val="0"/>
          <w:sz w:val="28"/>
          <w:szCs w:val="28"/>
        </w:rPr>
        <w:t xml:space="preserve">大学党政办公室       </w:t>
      </w:r>
      <w:r>
        <w:rPr>
          <w:rFonts w:hint="eastAsia" w:ascii="仿宋_GB2312" w:hAnsi="Times New Roman" w:eastAsia="仿宋_GB2312" w:cs="Times New Roman"/>
          <w:color w:val="000000"/>
          <w:kern w:val="0"/>
          <w:sz w:val="28"/>
          <w:szCs w:val="28"/>
          <w:lang w:val="en-US" w:eastAsia="zh-CN"/>
        </w:rPr>
        <w:t xml:space="preserve"> </w:t>
      </w:r>
      <w:r>
        <w:rPr>
          <w:rFonts w:hint="eastAsia" w:ascii="仿宋_GB2312" w:hAnsi="Times New Roman" w:eastAsia="仿宋_GB2312" w:cs="Times New Roman"/>
          <w:color w:val="000000"/>
          <w:kern w:val="0"/>
          <w:sz w:val="28"/>
          <w:szCs w:val="28"/>
        </w:rPr>
        <w:t xml:space="preserve"> </w:t>
      </w:r>
      <w:r>
        <w:rPr>
          <w:rFonts w:hint="eastAsia" w:ascii="仿宋_GB2312" w:hAnsi="Times New Roman" w:eastAsia="仿宋_GB2312" w:cs="Times New Roman"/>
          <w:color w:val="000000"/>
          <w:kern w:val="0"/>
          <w:sz w:val="28"/>
          <w:szCs w:val="28"/>
          <w:lang w:val="en-US" w:eastAsia="zh-CN"/>
        </w:rPr>
        <w:t xml:space="preserve"> </w:t>
      </w:r>
      <w:r>
        <w:rPr>
          <w:rFonts w:hint="eastAsia" w:ascii="仿宋_GB2312" w:hAnsi="Times New Roman" w:eastAsia="仿宋_GB2312" w:cs="Times New Roman"/>
          <w:color w:val="000000"/>
          <w:kern w:val="0"/>
          <w:sz w:val="28"/>
          <w:szCs w:val="28"/>
        </w:rPr>
        <w:t xml:space="preserve"> </w:t>
      </w:r>
      <w:r>
        <w:rPr>
          <w:rFonts w:hint="eastAsia" w:ascii="仿宋_GB2312" w:hAnsi="Times New Roman" w:eastAsia="仿宋_GB2312" w:cs="Times New Roman"/>
          <w:color w:val="000000"/>
          <w:kern w:val="0"/>
          <w:sz w:val="28"/>
          <w:szCs w:val="28"/>
          <w:lang w:val="en-US" w:eastAsia="zh-CN"/>
        </w:rPr>
        <w:t xml:space="preserve"> </w:t>
      </w:r>
      <w:r>
        <w:rPr>
          <w:rFonts w:hint="eastAsia" w:ascii="仿宋_GB2312" w:hAnsi="Times New Roman" w:eastAsia="仿宋_GB2312" w:cs="Times New Roman"/>
          <w:color w:val="000000"/>
          <w:kern w:val="0"/>
          <w:sz w:val="28"/>
          <w:szCs w:val="28"/>
        </w:rPr>
        <w:t xml:space="preserve"> </w:t>
      </w:r>
      <w:r>
        <w:rPr>
          <w:rFonts w:ascii="仿宋_GB2312" w:hAnsi="Times New Roman" w:eastAsia="仿宋_GB2312" w:cs="Times New Roman"/>
          <w:color w:val="000000"/>
          <w:kern w:val="0"/>
          <w:sz w:val="28"/>
          <w:szCs w:val="28"/>
        </w:rPr>
        <w:t xml:space="preserve">    </w:t>
      </w:r>
      <w:r>
        <w:rPr>
          <w:rFonts w:hint="eastAsia" w:ascii="仿宋_GB2312" w:hAnsi="Times New Roman" w:eastAsia="仿宋_GB2312" w:cs="Times New Roman"/>
          <w:color w:val="000000"/>
          <w:kern w:val="0"/>
          <w:sz w:val="28"/>
          <w:szCs w:val="28"/>
        </w:rPr>
        <w:t>20</w:t>
      </w:r>
      <w:r>
        <w:rPr>
          <w:rFonts w:ascii="仿宋_GB2312" w:hAnsi="Times New Roman" w:eastAsia="仿宋_GB2312" w:cs="Times New Roman"/>
          <w:color w:val="000000"/>
          <w:kern w:val="0"/>
          <w:sz w:val="28"/>
          <w:szCs w:val="28"/>
        </w:rPr>
        <w:t>2</w:t>
      </w:r>
      <w:r>
        <w:rPr>
          <w:rFonts w:hint="eastAsia" w:ascii="仿宋_GB2312" w:hAnsi="Times New Roman" w:eastAsia="仿宋_GB2312" w:cs="Times New Roman"/>
          <w:color w:val="000000"/>
          <w:kern w:val="0"/>
          <w:sz w:val="28"/>
          <w:szCs w:val="28"/>
          <w:lang w:val="en-US" w:eastAsia="zh-CN"/>
        </w:rPr>
        <w:t>4</w:t>
      </w:r>
      <w:r>
        <w:rPr>
          <w:rFonts w:hint="eastAsia" w:ascii="仿宋_GB2312" w:hAnsi="Times New Roman" w:eastAsia="仿宋_GB2312" w:cs="Times New Roman"/>
          <w:color w:val="000000"/>
          <w:kern w:val="0"/>
          <w:sz w:val="28"/>
          <w:szCs w:val="28"/>
        </w:rPr>
        <w:t>年</w:t>
      </w:r>
      <w:r>
        <w:rPr>
          <w:rFonts w:hint="eastAsia" w:ascii="仿宋_GB2312" w:hAnsi="Times New Roman" w:eastAsia="仿宋_GB2312" w:cs="Times New Roman"/>
          <w:color w:val="000000"/>
          <w:kern w:val="0"/>
          <w:sz w:val="28"/>
          <w:szCs w:val="28"/>
          <w:lang w:val="en-US" w:eastAsia="zh-CN"/>
        </w:rPr>
        <w:t>4</w:t>
      </w:r>
      <w:r>
        <w:rPr>
          <w:rFonts w:hint="eastAsia" w:ascii="仿宋_GB2312" w:hAnsi="Times New Roman" w:eastAsia="仿宋_GB2312" w:cs="Times New Roman"/>
          <w:color w:val="000000"/>
          <w:kern w:val="0"/>
          <w:sz w:val="28"/>
          <w:szCs w:val="28"/>
        </w:rPr>
        <w:t>月</w:t>
      </w:r>
      <w:r>
        <w:rPr>
          <w:rFonts w:hint="eastAsia" w:ascii="仿宋_GB2312" w:hAnsi="Times New Roman" w:eastAsia="仿宋_GB2312" w:cs="Times New Roman"/>
          <w:color w:val="000000"/>
          <w:kern w:val="0"/>
          <w:sz w:val="28"/>
          <w:szCs w:val="28"/>
          <w:lang w:val="en-US" w:eastAsia="zh-CN"/>
        </w:rPr>
        <w:t>12</w:t>
      </w:r>
      <w:r>
        <w:rPr>
          <w:rFonts w:hint="eastAsia" w:ascii="仿宋_GB2312" w:hAnsi="Times New Roman" w:eastAsia="仿宋_GB2312" w:cs="Times New Roman"/>
          <w:color w:val="000000"/>
          <w:kern w:val="0"/>
          <w:sz w:val="28"/>
          <w:szCs w:val="28"/>
        </w:rPr>
        <w:t>日印发</w:t>
      </w:r>
    </w:p>
    <w:sectPr>
      <w:pgSz w:w="11906" w:h="16838"/>
      <w:pgMar w:top="1701" w:right="1531" w:bottom="1984" w:left="1531" w:header="851" w:footer="113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D5F88D8-B2DC-4E16-AC6E-991CBE38C3C2}"/>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E8D112C3-E177-496A-98D5-5A8741D03CB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B14CEBB1-4BCC-4759-A4DB-34CCD2933C2D}"/>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auto"/>
    <w:pitch w:val="default"/>
    <w:sig w:usb0="00000001" w:usb1="080E0000" w:usb2="00000000" w:usb3="00000000" w:csb0="00040000" w:csb1="00000000"/>
    <w:embedRegular r:id="rId4" w:fontKey="{D300CE6D-1FE4-4EA1-BC8D-FA733CD8E61A}"/>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5" w:fontKey="{99C90A80-EA74-4172-8514-6EBAC0245C7A}"/>
  </w:font>
  <w:font w:name="华文中宋">
    <w:panose1 w:val="02010600040101010101"/>
    <w:charset w:val="86"/>
    <w:family w:val="auto"/>
    <w:pitch w:val="default"/>
    <w:sig w:usb0="00000287" w:usb1="080F0000" w:usb2="00000000" w:usb3="00000000" w:csb0="0004009F" w:csb1="DFD70000"/>
    <w:embedRegular r:id="rId6" w:fontKey="{02711B88-6288-40A1-814A-F1C2A6016886}"/>
  </w:font>
  <w:font w:name="仿宋">
    <w:panose1 w:val="02010609060101010101"/>
    <w:charset w:val="86"/>
    <w:family w:val="modern"/>
    <w:pitch w:val="default"/>
    <w:sig w:usb0="800002BF" w:usb1="38CF7CFA" w:usb2="00000016" w:usb3="00000000" w:csb0="00040001" w:csb1="00000000"/>
    <w:embedRegular r:id="rId7" w:fontKey="{A256EEC6-985A-430A-8F4E-B64F89961C76}"/>
  </w:font>
  <w:font w:name="楷体">
    <w:panose1 w:val="02010609060101010101"/>
    <w:charset w:val="86"/>
    <w:family w:val="auto"/>
    <w:pitch w:val="default"/>
    <w:sig w:usb0="800002BF" w:usb1="38CF7CFA" w:usb2="00000016" w:usb3="00000000" w:csb0="00040001" w:csb1="00000000"/>
    <w:embedRegular r:id="rId8" w:fontKey="{4F260C99-D926-4041-9722-A120E4A46A9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-76200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13</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6pt;height:144pt;width:144pt;mso-position-horizontal:outside;mso-position-horizontal-relative:margin;mso-wrap-style:none;z-index:251659264;mso-width-relative:page;mso-height-relative:page;" filled="f" stroked="f" coordsize="21600,21600" o:gfxdata="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mzhdFNQAAAAIAQAADwAAAAAAAAABACAAAAAiAAAAZHJzL2Rvd25yZXYueG1sUEsB&#10;AhQAFAAAAAgAh07iQLqMOCsyAgAAYQQAAA4AAAAAAAAAAQAgAAAAIwEAAGRycy9lMm9Eb2MueG1s&#10;UEsFBgAAAAAGAAYAWQEAAMcFAAAAAA==&#10;">
              <v:fill on="f" focussize="0,0"/>
              <v:stroke on="f" weight="0.5pt"/>
              <v:imagedata o:title=""/>
              <o:lock v:ext="edit" aspectratio="f"/>
              <v:textbox inset="0mm,0mm,0mm,0mm" style="mso-fit-shape-to-text:t;">
                <w:txbxContent>
                  <w:p>
                    <w:pPr>
                      <w:pStyle w:val="5"/>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13</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71B79C"/>
    <w:multiLevelType w:val="singleLevel"/>
    <w:tmpl w:val="4F71B79C"/>
    <w:lvl w:ilvl="0" w:tentative="0">
      <w:start w:val="2"/>
      <w:numFmt w:val="decimal"/>
      <w:lvlText w:val="%1."/>
      <w:lvlJc w:val="left"/>
      <w:pPr>
        <w:tabs>
          <w:tab w:val="left" w:pos="312"/>
        </w:tabs>
        <w:ind w:left="615"/>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45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ExZTQ2NjMyZmFiMDM1NGY2MjM2YjQzMGRkYmEwYTAifQ=="/>
  </w:docVars>
  <w:rsids>
    <w:rsidRoot w:val="00D966BD"/>
    <w:rsid w:val="00041D8E"/>
    <w:rsid w:val="000931EC"/>
    <w:rsid w:val="00157809"/>
    <w:rsid w:val="001B7943"/>
    <w:rsid w:val="001D27A3"/>
    <w:rsid w:val="004E4946"/>
    <w:rsid w:val="00503A76"/>
    <w:rsid w:val="00865CF4"/>
    <w:rsid w:val="00B210AE"/>
    <w:rsid w:val="00BF56B4"/>
    <w:rsid w:val="00C4716E"/>
    <w:rsid w:val="00D130A0"/>
    <w:rsid w:val="00D966BD"/>
    <w:rsid w:val="00E14FED"/>
    <w:rsid w:val="00E70D97"/>
    <w:rsid w:val="00EE37B6"/>
    <w:rsid w:val="01BF7FED"/>
    <w:rsid w:val="03D80E06"/>
    <w:rsid w:val="0B463E0C"/>
    <w:rsid w:val="0BA52599"/>
    <w:rsid w:val="0FE43BC9"/>
    <w:rsid w:val="1081783D"/>
    <w:rsid w:val="11925532"/>
    <w:rsid w:val="13211C2E"/>
    <w:rsid w:val="189E044E"/>
    <w:rsid w:val="1F1026FC"/>
    <w:rsid w:val="264829BA"/>
    <w:rsid w:val="267B1939"/>
    <w:rsid w:val="29FF45A7"/>
    <w:rsid w:val="2DDC7307"/>
    <w:rsid w:val="2E7A1D4A"/>
    <w:rsid w:val="31F20A27"/>
    <w:rsid w:val="32F7188E"/>
    <w:rsid w:val="3574799C"/>
    <w:rsid w:val="37516D94"/>
    <w:rsid w:val="37A91E04"/>
    <w:rsid w:val="392D04F2"/>
    <w:rsid w:val="3A300D3D"/>
    <w:rsid w:val="3F3A250D"/>
    <w:rsid w:val="42504E08"/>
    <w:rsid w:val="45E071B1"/>
    <w:rsid w:val="478E2BFE"/>
    <w:rsid w:val="4904024F"/>
    <w:rsid w:val="499D4417"/>
    <w:rsid w:val="4AC25708"/>
    <w:rsid w:val="4EFC770F"/>
    <w:rsid w:val="4F990D26"/>
    <w:rsid w:val="557D0764"/>
    <w:rsid w:val="586A0DFB"/>
    <w:rsid w:val="58AD69E8"/>
    <w:rsid w:val="59587160"/>
    <w:rsid w:val="5CD32CF3"/>
    <w:rsid w:val="5E132566"/>
    <w:rsid w:val="600036E7"/>
    <w:rsid w:val="60FD6695"/>
    <w:rsid w:val="655A254D"/>
    <w:rsid w:val="69987C5C"/>
    <w:rsid w:val="6F8777A1"/>
    <w:rsid w:val="70FF1D79"/>
    <w:rsid w:val="74AC41CD"/>
    <w:rsid w:val="77155627"/>
    <w:rsid w:val="77C60049"/>
    <w:rsid w:val="77CA441A"/>
    <w:rsid w:val="79276D20"/>
    <w:rsid w:val="79736FC2"/>
    <w:rsid w:val="799B479F"/>
    <w:rsid w:val="7DF6631D"/>
    <w:rsid w:val="7F555E31"/>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99"/>
    <w:pPr>
      <w:autoSpaceDE w:val="0"/>
      <w:autoSpaceDN w:val="0"/>
      <w:jc w:val="left"/>
    </w:pPr>
    <w:rPr>
      <w:rFonts w:ascii="仿宋_GB2312" w:hAnsi="仿宋_GB2312" w:cs="仿宋_GB2312"/>
      <w:kern w:val="0"/>
      <w:sz w:val="28"/>
      <w:szCs w:val="28"/>
      <w:lang w:val="zh-CN"/>
    </w:rPr>
  </w:style>
  <w:style w:type="paragraph" w:styleId="3">
    <w:name w:val="Body Text Indent 2"/>
    <w:basedOn w:val="1"/>
    <w:autoRedefine/>
    <w:qFormat/>
    <w:uiPriority w:val="99"/>
    <w:pPr>
      <w:spacing w:line="420" w:lineRule="atLeast"/>
      <w:ind w:firstLine="540"/>
    </w:pPr>
    <w:rPr>
      <w:rFonts w:ascii="仿宋_GB2312" w:eastAsia="仿宋_GB2312"/>
      <w:sz w:val="30"/>
    </w:rPr>
  </w:style>
  <w:style w:type="paragraph" w:styleId="4">
    <w:name w:val="Balloon Text"/>
    <w:basedOn w:val="1"/>
    <w:link w:val="16"/>
    <w:autoRedefine/>
    <w:semiHidden/>
    <w:unhideWhenUsed/>
    <w:qFormat/>
    <w:uiPriority w:val="99"/>
    <w:rPr>
      <w:sz w:val="18"/>
      <w:szCs w:val="18"/>
    </w:rPr>
  </w:style>
  <w:style w:type="paragraph" w:styleId="5">
    <w:name w:val="footer"/>
    <w:basedOn w:val="1"/>
    <w:link w:val="15"/>
    <w:autoRedefine/>
    <w:unhideWhenUsed/>
    <w:qFormat/>
    <w:uiPriority w:val="99"/>
    <w:pPr>
      <w:tabs>
        <w:tab w:val="center" w:pos="4153"/>
        <w:tab w:val="right" w:pos="8306"/>
      </w:tabs>
      <w:snapToGrid w:val="0"/>
      <w:jc w:val="left"/>
    </w:pPr>
    <w:rPr>
      <w:sz w:val="18"/>
      <w:szCs w:val="18"/>
    </w:rPr>
  </w:style>
  <w:style w:type="paragraph" w:styleId="6">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8">
    <w:name w:val="Title"/>
    <w:basedOn w:val="1"/>
    <w:next w:val="1"/>
    <w:autoRedefine/>
    <w:qFormat/>
    <w:uiPriority w:val="10"/>
    <w:pPr>
      <w:spacing w:before="240" w:after="60"/>
      <w:jc w:val="center"/>
      <w:outlineLvl w:val="0"/>
    </w:pPr>
    <w:rPr>
      <w:rFonts w:ascii="Calibri Light" w:hAnsi="Calibri Light" w:cs="Times New Roman"/>
      <w:b/>
      <w:bCs/>
      <w:sz w:val="32"/>
      <w:szCs w:val="32"/>
    </w:rPr>
  </w:style>
  <w:style w:type="paragraph" w:styleId="9">
    <w:name w:val="Body Text First Indent"/>
    <w:basedOn w:val="2"/>
    <w:autoRedefine/>
    <w:unhideWhenUsed/>
    <w:qFormat/>
    <w:uiPriority w:val="0"/>
    <w:pPr>
      <w:ind w:firstLine="420" w:firstLineChars="10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autoRedefine/>
    <w:qFormat/>
    <w:uiPriority w:val="0"/>
  </w:style>
  <w:style w:type="character" w:customStyle="1" w:styleId="14">
    <w:name w:val="页眉 Char"/>
    <w:basedOn w:val="12"/>
    <w:link w:val="6"/>
    <w:autoRedefine/>
    <w:qFormat/>
    <w:uiPriority w:val="99"/>
    <w:rPr>
      <w:sz w:val="18"/>
      <w:szCs w:val="18"/>
    </w:rPr>
  </w:style>
  <w:style w:type="character" w:customStyle="1" w:styleId="15">
    <w:name w:val="页脚 Char"/>
    <w:basedOn w:val="12"/>
    <w:link w:val="5"/>
    <w:autoRedefine/>
    <w:qFormat/>
    <w:uiPriority w:val="99"/>
    <w:rPr>
      <w:sz w:val="18"/>
      <w:szCs w:val="18"/>
    </w:rPr>
  </w:style>
  <w:style w:type="character" w:customStyle="1" w:styleId="16">
    <w:name w:val="批注框文本 Char"/>
    <w:basedOn w:val="12"/>
    <w:link w:val="4"/>
    <w:autoRedefine/>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440</Words>
  <Characters>493</Characters>
  <Lines>1</Lines>
  <Paragraphs>1</Paragraphs>
  <TotalTime>0</TotalTime>
  <ScaleCrop>false</ScaleCrop>
  <LinksUpToDate>false</LinksUpToDate>
  <CharactersWithSpaces>529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2020-11-04T07:26:00Z</dcterms:created>
  <dc:creator>Susan</dc:creator>
  <cp:lastModifiedBy>王超超</cp:lastModifiedBy>
  <cp:lastPrinted>2022-08-23T09:29:00Z</cp:lastPrinted>
  <dcterms:modified xsi:type="dcterms:W3CDTF">2024-04-12T02:50:28Z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0BD821DC57C34DE9981161A94D6BAA85_13</vt:lpwstr>
  </property>
</Properties>
</file>